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jc w:val="center"/>
        <w:rPr>
          <w:rFonts w:eastAsiaTheme="minorEastAsia"/>
          <w:sz w:val="28"/>
          <w:szCs w:val="28"/>
        </w:rPr>
      </w:pPr>
    </w:p>
    <w:p>
      <w:pPr>
        <w:spacing w:line="360" w:lineRule="auto"/>
        <w:ind w:firstLine="560"/>
        <w:jc w:val="center"/>
        <w:rPr>
          <w:rFonts w:eastAsiaTheme="minorEastAsia"/>
          <w:sz w:val="28"/>
          <w:szCs w:val="28"/>
        </w:rPr>
      </w:pPr>
    </w:p>
    <w:p>
      <w:pPr>
        <w:spacing w:line="360" w:lineRule="auto"/>
        <w:ind w:firstLine="560"/>
        <w:jc w:val="center"/>
        <w:rPr>
          <w:rFonts w:eastAsiaTheme="minorEastAsia"/>
          <w:sz w:val="28"/>
          <w:szCs w:val="28"/>
        </w:rPr>
      </w:pPr>
    </w:p>
    <w:p>
      <w:pPr>
        <w:spacing w:line="360" w:lineRule="auto"/>
        <w:ind w:firstLine="560"/>
        <w:rPr>
          <w:rFonts w:eastAsia="仿宋_GB2312"/>
          <w:sz w:val="28"/>
          <w:szCs w:val="28"/>
        </w:rPr>
      </w:pPr>
    </w:p>
    <w:p>
      <w:pPr>
        <w:spacing w:line="360" w:lineRule="auto"/>
        <w:jc w:val="center"/>
        <w:rPr>
          <w:rFonts w:hint="eastAsia" w:ascii="华文新魏" w:eastAsia="华文新魏"/>
          <w:b/>
          <w:bCs/>
          <w:sz w:val="44"/>
          <w:szCs w:val="44"/>
          <w:lang w:eastAsia="zh-CN"/>
        </w:rPr>
      </w:pPr>
      <w:r>
        <w:rPr>
          <w:rFonts w:hint="eastAsia" w:ascii="Tahoma" w:hAnsi="Tahoma" w:eastAsia="微软雅黑"/>
          <w:b/>
          <w:bCs/>
          <w:sz w:val="22"/>
        </w:rPr>
        <w:tab/>
      </w:r>
      <w:r>
        <w:rPr>
          <w:rFonts w:hint="eastAsia" w:ascii="华文新魏" w:eastAsia="华文新魏"/>
          <w:b/>
          <w:bCs/>
          <w:sz w:val="44"/>
          <w:szCs w:val="44"/>
        </w:rPr>
        <w:t>新乡市公共交通集团有限责任公司</w:t>
      </w:r>
    </w:p>
    <w:p>
      <w:pPr>
        <w:spacing w:line="360" w:lineRule="auto"/>
        <w:jc w:val="center"/>
        <w:rPr>
          <w:rFonts w:ascii="华文新魏" w:eastAsia="华文新魏"/>
          <w:b/>
          <w:bCs/>
          <w:sz w:val="44"/>
          <w:szCs w:val="44"/>
        </w:rPr>
      </w:pPr>
      <w:r>
        <w:rPr>
          <w:rFonts w:hint="eastAsia" w:ascii="华文新魏" w:eastAsia="华文新魏"/>
          <w:b/>
          <w:bCs/>
          <w:sz w:val="44"/>
          <w:szCs w:val="44"/>
          <w:lang w:val="en-US" w:eastAsia="zh-CN"/>
        </w:rPr>
        <w:t>柳青路</w:t>
      </w:r>
      <w:r>
        <w:rPr>
          <w:rFonts w:hint="eastAsia" w:ascii="华文新魏" w:eastAsia="华文新魏"/>
          <w:b/>
          <w:bCs/>
          <w:sz w:val="44"/>
          <w:szCs w:val="44"/>
        </w:rPr>
        <w:t>加油站项目</w:t>
      </w:r>
    </w:p>
    <w:p>
      <w:pPr>
        <w:jc w:val="center"/>
        <w:rPr>
          <w:rFonts w:ascii="Tahoma" w:hAnsi="Tahoma" w:eastAsia="微软雅黑"/>
          <w:sz w:val="22"/>
        </w:rPr>
      </w:pPr>
      <w:r>
        <w:rPr>
          <w:rFonts w:ascii="华文新魏" w:eastAsia="华文新魏"/>
          <w:b/>
          <w:sz w:val="44"/>
          <w:szCs w:val="44"/>
        </w:rPr>
        <w:t>竣工环境保护验收监测报告</w:t>
      </w:r>
    </w:p>
    <w:p>
      <w:pPr>
        <w:spacing w:line="360" w:lineRule="auto"/>
        <w:jc w:val="center"/>
        <w:rPr>
          <w:rFonts w:ascii="宋体" w:hAnsi="宋体" w:cs="宋体"/>
          <w:b/>
          <w:bCs/>
          <w:sz w:val="52"/>
          <w:szCs w:val="52"/>
        </w:rPr>
      </w:pPr>
    </w:p>
    <w:p>
      <w:pPr>
        <w:spacing w:line="360" w:lineRule="auto"/>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rPr>
          <w:rFonts w:eastAsia="华文新魏"/>
          <w:sz w:val="28"/>
          <w:szCs w:val="28"/>
        </w:rPr>
      </w:pPr>
      <w:r>
        <w:rPr>
          <w:rFonts w:eastAsia="仿宋_GB2312"/>
          <w:sz w:val="28"/>
          <w:szCs w:val="28"/>
        </w:rPr>
        <w:tab/>
      </w:r>
    </w:p>
    <w:p>
      <w:pPr>
        <w:ind w:firstLine="560"/>
        <w:jc w:val="center"/>
        <w:rPr>
          <w:rFonts w:ascii="宋体" w:hAnsi="宋体"/>
          <w:sz w:val="28"/>
          <w:szCs w:val="28"/>
        </w:rPr>
      </w:pPr>
      <w:r>
        <w:rPr>
          <w:rFonts w:hint="eastAsia" w:ascii="宋体" w:hAnsi="宋体"/>
          <w:sz w:val="28"/>
          <w:szCs w:val="28"/>
        </w:rPr>
        <w:t>建设单位：新乡市公共交通集团有限责任公司</w:t>
      </w:r>
      <w:r>
        <w:rPr>
          <w:rFonts w:hint="eastAsia" w:ascii="宋体" w:hAnsi="宋体"/>
          <w:sz w:val="28"/>
          <w:szCs w:val="28"/>
          <w:lang w:val="en-US" w:eastAsia="zh-CN"/>
        </w:rPr>
        <w:t>柳青路</w:t>
      </w:r>
      <w:r>
        <w:rPr>
          <w:rFonts w:hint="eastAsia" w:ascii="宋体" w:hAnsi="宋体"/>
          <w:sz w:val="28"/>
          <w:szCs w:val="28"/>
        </w:rPr>
        <w:t>加油站</w:t>
      </w:r>
    </w:p>
    <w:p>
      <w:pPr>
        <w:ind w:firstLine="560"/>
        <w:jc w:val="center"/>
        <w:rPr>
          <w:rFonts w:eastAsia="仿宋_GB2312"/>
          <w:sz w:val="28"/>
          <w:szCs w:val="28"/>
        </w:rPr>
      </w:pPr>
      <w:r>
        <w:rPr>
          <w:rFonts w:hint="eastAsia" w:ascii="宋体" w:hAnsi="宋体"/>
          <w:sz w:val="28"/>
          <w:szCs w:val="28"/>
        </w:rPr>
        <w:t>编制单位：新乡市公共交通集团有限责任公司</w:t>
      </w:r>
      <w:r>
        <w:rPr>
          <w:rFonts w:hint="eastAsia" w:ascii="宋体" w:hAnsi="宋体"/>
          <w:sz w:val="28"/>
          <w:szCs w:val="28"/>
          <w:lang w:val="en-US" w:eastAsia="zh-CN"/>
        </w:rPr>
        <w:t>柳青路</w:t>
      </w:r>
      <w:r>
        <w:rPr>
          <w:rFonts w:hint="eastAsia" w:ascii="宋体" w:hAnsi="宋体"/>
          <w:sz w:val="28"/>
          <w:szCs w:val="28"/>
        </w:rPr>
        <w:t>加油站</w:t>
      </w:r>
    </w:p>
    <w:p>
      <w:pPr>
        <w:ind w:firstLine="560"/>
        <w:rPr>
          <w:rFonts w:eastAsia="仿宋_GB2312"/>
          <w:sz w:val="28"/>
          <w:szCs w:val="28"/>
        </w:rPr>
      </w:pPr>
    </w:p>
    <w:p>
      <w:pPr>
        <w:ind w:firstLine="561"/>
        <w:jc w:val="center"/>
        <w:rPr>
          <w:rFonts w:hint="default" w:ascii="Times New Roman" w:hAnsi="Times New Roman" w:eastAsia="华文新魏" w:cs="Times New Roman"/>
          <w:sz w:val="28"/>
          <w:szCs w:val="28"/>
        </w:rPr>
      </w:pPr>
      <w:r>
        <w:rPr>
          <w:rFonts w:hint="default" w:ascii="Times New Roman" w:hAnsi="Times New Roman" w:eastAsia="华文新魏" w:cs="Times New Roman"/>
          <w:b/>
          <w:sz w:val="28"/>
          <w:szCs w:val="28"/>
        </w:rPr>
        <w:t>2022</w:t>
      </w:r>
      <w:r>
        <w:rPr>
          <w:rFonts w:hint="default" w:ascii="Times New Roman" w:hAnsi="Times New Roman" w:eastAsia="华文新魏" w:cs="Times New Roman"/>
          <w:sz w:val="28"/>
          <w:szCs w:val="28"/>
        </w:rPr>
        <w:t>年</w:t>
      </w:r>
      <w:r>
        <w:rPr>
          <w:rFonts w:hint="default" w:ascii="Times New Roman" w:hAnsi="Times New Roman" w:eastAsia="华文新魏" w:cs="Times New Roman"/>
          <w:b/>
          <w:sz w:val="28"/>
          <w:szCs w:val="28"/>
          <w:lang w:val="en-US" w:eastAsia="zh-CN"/>
        </w:rPr>
        <w:t>9</w:t>
      </w:r>
      <w:r>
        <w:rPr>
          <w:rFonts w:hint="default" w:ascii="Times New Roman" w:hAnsi="Times New Roman" w:eastAsia="华文新魏" w:cs="Times New Roman"/>
          <w:b/>
          <w:sz w:val="28"/>
          <w:szCs w:val="28"/>
        </w:rPr>
        <w:t>月</w:t>
      </w:r>
    </w:p>
    <w:p>
      <w:pPr>
        <w:ind w:firstLine="640"/>
        <w:rPr>
          <w:rFonts w:eastAsia="仿宋_GB2312"/>
          <w:sz w:val="32"/>
          <w:szCs w:val="32"/>
        </w:rPr>
      </w:pPr>
      <w:r>
        <w:rPr>
          <w:rFonts w:eastAsia="仿宋_GB2312"/>
          <w:sz w:val="32"/>
          <w:szCs w:val="32"/>
        </w:rPr>
        <w:br w:type="page"/>
      </w:r>
    </w:p>
    <w:p>
      <w:pPr>
        <w:autoSpaceDE w:val="0"/>
        <w:jc w:val="both"/>
        <w:rPr>
          <w:rFonts w:eastAsia="仿宋_GB2312"/>
          <w:b/>
          <w:bCs/>
          <w:sz w:val="32"/>
          <w:szCs w:val="32"/>
        </w:rPr>
      </w:pPr>
      <w:r>
        <w:rPr>
          <w:rFonts w:ascii="仿宋_GB2312" w:hAnsi="仿宋_GB2312" w:eastAsia="仿宋_GB2312"/>
          <w:b/>
          <w:bCs/>
          <w:sz w:val="28"/>
          <w:szCs w:val="28"/>
        </w:rPr>
        <w:t>建设单位法人代表</w:t>
      </w:r>
      <w:r>
        <w:rPr>
          <w:rFonts w:eastAsia="仿宋_GB2312"/>
          <w:b/>
          <w:bCs/>
          <w:sz w:val="28"/>
          <w:szCs w:val="28"/>
        </w:rPr>
        <w:t>:</w:t>
      </w:r>
      <w:r>
        <w:rPr>
          <w:rFonts w:eastAsia="仿宋_GB2312"/>
          <w:b/>
          <w:bCs/>
          <w:sz w:val="28"/>
          <w:szCs w:val="28"/>
        </w:rPr>
        <w:tab/>
      </w:r>
      <w:r>
        <w:rPr>
          <w:rFonts w:ascii="仿宋_GB2312" w:hAnsi="仿宋_GB2312" w:eastAsia="仿宋_GB2312"/>
          <w:b/>
          <w:bCs/>
          <w:sz w:val="28"/>
          <w:szCs w:val="28"/>
        </w:rPr>
        <w:t>（</w:t>
      </w:r>
      <w:r>
        <w:rPr>
          <w:rFonts w:ascii="仿宋" w:hAnsi="仿宋" w:eastAsia="仿宋"/>
          <w:b/>
          <w:bCs/>
          <w:sz w:val="28"/>
          <w:szCs w:val="28"/>
        </w:rPr>
        <w:t>签名</w:t>
      </w:r>
      <w:r>
        <w:rPr>
          <w:rFonts w:hint="eastAsia" w:ascii="宋体" w:hAnsi="宋体" w:cs="宋体"/>
          <w:b/>
          <w:bCs/>
          <w:sz w:val="28"/>
          <w:szCs w:val="28"/>
        </w:rPr>
        <w:t>）</w:t>
      </w:r>
    </w:p>
    <w:p>
      <w:pPr>
        <w:autoSpaceDE w:val="0"/>
        <w:spacing w:line="360" w:lineRule="auto"/>
        <w:jc w:val="both"/>
        <w:rPr>
          <w:rFonts w:eastAsia="仿宋_GB2312"/>
          <w:b/>
          <w:bCs/>
          <w:sz w:val="28"/>
          <w:szCs w:val="28"/>
        </w:rPr>
      </w:pPr>
      <w:r>
        <w:rPr>
          <w:rFonts w:ascii="仿宋_GB2312" w:hAnsi="仿宋_GB2312" w:eastAsia="仿宋_GB2312"/>
          <w:b/>
          <w:bCs/>
          <w:sz w:val="28"/>
          <w:szCs w:val="28"/>
        </w:rPr>
        <w:t>编制单位法人代表</w:t>
      </w:r>
      <w:r>
        <w:rPr>
          <w:rFonts w:eastAsia="仿宋_GB2312"/>
          <w:b/>
          <w:bCs/>
          <w:sz w:val="28"/>
          <w:szCs w:val="28"/>
        </w:rPr>
        <w:t>:</w:t>
      </w:r>
      <w:r>
        <w:rPr>
          <w:rFonts w:eastAsia="仿宋_GB2312"/>
          <w:b/>
          <w:bCs/>
          <w:sz w:val="28"/>
          <w:szCs w:val="28"/>
        </w:rPr>
        <w:tab/>
      </w:r>
      <w:r>
        <w:rPr>
          <w:rFonts w:ascii="仿宋_GB2312" w:hAnsi="仿宋_GB2312" w:eastAsia="仿宋_GB2312"/>
          <w:b/>
          <w:bCs/>
          <w:sz w:val="28"/>
          <w:szCs w:val="28"/>
        </w:rPr>
        <w:t>（</w:t>
      </w:r>
      <w:r>
        <w:rPr>
          <w:rFonts w:ascii="仿宋" w:hAnsi="仿宋" w:eastAsia="仿宋"/>
          <w:b/>
          <w:bCs/>
          <w:sz w:val="28"/>
          <w:szCs w:val="28"/>
        </w:rPr>
        <w:t>签名</w:t>
      </w:r>
      <w:r>
        <w:rPr>
          <w:rFonts w:hint="eastAsia" w:ascii="宋体" w:hAnsi="宋体" w:cs="宋体"/>
          <w:b/>
          <w:bCs/>
          <w:sz w:val="28"/>
          <w:szCs w:val="28"/>
        </w:rPr>
        <w:t>）</w:t>
      </w:r>
    </w:p>
    <w:p>
      <w:pPr>
        <w:autoSpaceDE w:val="0"/>
        <w:spacing w:line="360" w:lineRule="auto"/>
        <w:jc w:val="both"/>
        <w:rPr>
          <w:b/>
          <w:bCs/>
          <w:spacing w:val="10"/>
          <w:sz w:val="28"/>
          <w:szCs w:val="28"/>
        </w:rPr>
      </w:pPr>
      <w:r>
        <w:rPr>
          <w:rFonts w:ascii="仿宋_GB2312" w:hAnsi="仿宋_GB2312" w:eastAsia="仿宋_GB2312"/>
          <w:b/>
          <w:bCs/>
          <w:spacing w:val="20"/>
          <w:sz w:val="28"/>
          <w:szCs w:val="28"/>
        </w:rPr>
        <w:t>项目负责人</w:t>
      </w:r>
      <w:r>
        <w:rPr>
          <w:rFonts w:ascii="仿宋_GB2312" w:hAnsi="仿宋_GB2312"/>
          <w:b/>
          <w:bCs/>
          <w:spacing w:val="10"/>
          <w:sz w:val="28"/>
          <w:szCs w:val="28"/>
        </w:rPr>
        <w:t>：</w:t>
      </w:r>
      <w:r>
        <w:rPr>
          <w:rFonts w:hint="eastAsia" w:ascii="仿宋_GB2312" w:hAnsi="仿宋_GB2312" w:eastAsia="仿宋_GB2312"/>
          <w:b/>
          <w:bCs/>
          <w:spacing w:val="10"/>
          <w:sz w:val="28"/>
          <w:szCs w:val="28"/>
        </w:rPr>
        <w:t>曹洋</w:t>
      </w:r>
    </w:p>
    <w:p>
      <w:pPr>
        <w:spacing w:line="360" w:lineRule="auto"/>
        <w:jc w:val="both"/>
        <w:rPr>
          <w:rFonts w:eastAsia="仿宋_GB2312"/>
          <w:b/>
          <w:bCs/>
          <w:spacing w:val="10"/>
          <w:sz w:val="28"/>
          <w:szCs w:val="28"/>
        </w:rPr>
      </w:pPr>
      <w:r>
        <w:rPr>
          <w:rFonts w:ascii="仿宋_GB2312" w:hAnsi="仿宋_GB2312" w:eastAsia="仿宋_GB2312"/>
          <w:b/>
          <w:bCs/>
          <w:spacing w:val="141"/>
          <w:sz w:val="28"/>
          <w:szCs w:val="28"/>
        </w:rPr>
        <w:t>填表人</w:t>
      </w:r>
      <w:r>
        <w:rPr>
          <w:rFonts w:ascii="仿宋_GB2312" w:hAnsi="仿宋_GB2312" w:eastAsia="仿宋_GB2312"/>
          <w:b/>
          <w:bCs/>
          <w:spacing w:val="2"/>
          <w:sz w:val="28"/>
          <w:szCs w:val="28"/>
        </w:rPr>
        <w:t>：</w:t>
      </w:r>
      <w:r>
        <w:rPr>
          <w:rFonts w:hint="eastAsia" w:ascii="仿宋_GB2312" w:hAnsi="仿宋_GB2312" w:eastAsia="仿宋_GB2312"/>
          <w:b/>
          <w:bCs/>
          <w:spacing w:val="10"/>
          <w:sz w:val="28"/>
          <w:szCs w:val="28"/>
        </w:rPr>
        <w:t>曹洋</w:t>
      </w:r>
    </w:p>
    <w:p>
      <w:pPr>
        <w:spacing w:line="360" w:lineRule="auto"/>
        <w:ind w:firstLine="560"/>
        <w:rPr>
          <w:rFonts w:eastAsia="仿宋_GB2312"/>
          <w:sz w:val="28"/>
          <w:szCs w:val="28"/>
        </w:rPr>
      </w:pPr>
    </w:p>
    <w:p>
      <w:pPr>
        <w:spacing w:line="360" w:lineRule="auto"/>
        <w:ind w:firstLine="560"/>
        <w:rPr>
          <w:rFonts w:eastAsia="仿宋_GB2312"/>
          <w:sz w:val="28"/>
          <w:szCs w:val="28"/>
        </w:rPr>
      </w:pPr>
    </w:p>
    <w:p>
      <w:pPr>
        <w:spacing w:line="360" w:lineRule="auto"/>
        <w:ind w:firstLine="560"/>
        <w:rPr>
          <w:rFonts w:eastAsia="仿宋_GB2312"/>
          <w:sz w:val="28"/>
          <w:szCs w:val="28"/>
        </w:rPr>
      </w:pPr>
    </w:p>
    <w:p>
      <w:pPr>
        <w:spacing w:line="360" w:lineRule="auto"/>
        <w:ind w:left="-785" w:leftChars="-327" w:right="-362" w:rightChars="-151" w:firstLine="642"/>
        <w:rPr>
          <w:rFonts w:eastAsia="仿宋_GB2312"/>
          <w:b/>
          <w:spacing w:val="20"/>
          <w:sz w:val="28"/>
          <w:szCs w:val="28"/>
        </w:rPr>
      </w:pPr>
    </w:p>
    <w:p>
      <w:pPr>
        <w:spacing w:line="360" w:lineRule="auto"/>
        <w:ind w:left="-785" w:leftChars="-327" w:right="-362" w:rightChars="-151" w:firstLine="642"/>
        <w:rPr>
          <w:rFonts w:eastAsia="仿宋_GB2312"/>
          <w:b/>
          <w:spacing w:val="20"/>
          <w:sz w:val="28"/>
          <w:szCs w:val="28"/>
        </w:rPr>
      </w:pPr>
    </w:p>
    <w:p>
      <w:pPr>
        <w:spacing w:line="360" w:lineRule="auto"/>
        <w:ind w:left="-785" w:leftChars="-327" w:right="-362" w:rightChars="-151" w:firstLine="562"/>
        <w:rPr>
          <w:rFonts w:eastAsia="仿宋_GB2312"/>
          <w:b/>
          <w:spacing w:val="20"/>
          <w:szCs w:val="24"/>
        </w:rPr>
      </w:pPr>
    </w:p>
    <w:p>
      <w:pPr>
        <w:spacing w:line="360" w:lineRule="auto"/>
        <w:ind w:left="-785" w:leftChars="-327" w:right="-362" w:rightChars="-151" w:firstLine="562"/>
        <w:rPr>
          <w:rFonts w:eastAsia="仿宋_GB2312"/>
          <w:b/>
          <w:spacing w:val="20"/>
          <w:szCs w:val="24"/>
        </w:rPr>
      </w:pPr>
    </w:p>
    <w:p>
      <w:pPr>
        <w:spacing w:line="360" w:lineRule="auto"/>
        <w:ind w:left="-785" w:leftChars="-327" w:right="-362" w:rightChars="-151" w:firstLine="562"/>
        <w:rPr>
          <w:rFonts w:eastAsia="仿宋_GB2312"/>
          <w:b/>
          <w:spacing w:val="20"/>
          <w:szCs w:val="24"/>
        </w:rPr>
      </w:pP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建设单位:</w:t>
      </w:r>
      <w:r>
        <w:rPr>
          <w:rFonts w:hint="eastAsia" w:eastAsia="仿宋_GB2312"/>
          <w:b/>
          <w:bCs/>
          <w:spacing w:val="20"/>
          <w:szCs w:val="24"/>
        </w:rPr>
        <w:t>新乡市公共交通集团有限责任公司</w:t>
      </w:r>
      <w:r>
        <w:rPr>
          <w:rFonts w:hint="eastAsia" w:eastAsia="仿宋_GB2312"/>
          <w:b/>
          <w:bCs/>
          <w:spacing w:val="20"/>
          <w:szCs w:val="24"/>
          <w:lang w:val="en-US" w:eastAsia="zh-CN"/>
        </w:rPr>
        <w:t>柳青路</w:t>
      </w:r>
      <w:r>
        <w:rPr>
          <w:rFonts w:hint="eastAsia" w:eastAsia="仿宋_GB2312"/>
          <w:b/>
          <w:bCs/>
          <w:spacing w:val="20"/>
          <w:szCs w:val="24"/>
        </w:rPr>
        <w:t>加油站</w:t>
      </w:r>
      <w:r>
        <w:rPr>
          <w:rFonts w:eastAsia="仿宋_GB2312"/>
          <w:b/>
          <w:bCs/>
          <w:spacing w:val="20"/>
          <w:szCs w:val="24"/>
        </w:rPr>
        <w:t xml:space="preserve">   </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电话:</w:t>
      </w:r>
      <w:r>
        <w:rPr>
          <w:rFonts w:hint="eastAsia" w:eastAsia="仿宋_GB2312"/>
          <w:b/>
          <w:bCs/>
          <w:spacing w:val="20"/>
          <w:szCs w:val="24"/>
        </w:rPr>
        <w:t>13663808440</w:t>
      </w:r>
      <w:r>
        <w:rPr>
          <w:rFonts w:eastAsia="仿宋_GB2312"/>
          <w:b/>
          <w:bCs/>
          <w:spacing w:val="20"/>
          <w:szCs w:val="24"/>
        </w:rPr>
        <w:t xml:space="preserve">                                     </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传真:/</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邮编:4530</w:t>
      </w:r>
      <w:r>
        <w:rPr>
          <w:rFonts w:hint="eastAsia" w:eastAsia="仿宋_GB2312"/>
          <w:b/>
          <w:bCs/>
          <w:spacing w:val="20"/>
          <w:szCs w:val="24"/>
        </w:rPr>
        <w:t>00</w:t>
      </w:r>
      <w:r>
        <w:rPr>
          <w:rFonts w:eastAsia="仿宋_GB2312"/>
          <w:b/>
          <w:bCs/>
          <w:spacing w:val="20"/>
          <w:szCs w:val="24"/>
        </w:rPr>
        <w:t xml:space="preserve">                  </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地址:</w:t>
      </w:r>
      <w:r>
        <w:rPr>
          <w:rFonts w:hint="eastAsia" w:eastAsia="仿宋_GB2312"/>
          <w:b/>
          <w:bCs/>
          <w:spacing w:val="20"/>
          <w:szCs w:val="24"/>
        </w:rPr>
        <w:t>河南省新乡市高新区</w:t>
      </w:r>
      <w:r>
        <w:rPr>
          <w:rFonts w:hint="eastAsia" w:eastAsia="仿宋_GB2312"/>
          <w:b/>
          <w:bCs/>
          <w:spacing w:val="20"/>
          <w:szCs w:val="24"/>
          <w:lang w:val="en-US" w:eastAsia="zh-CN"/>
        </w:rPr>
        <w:t>柳青路与新二街东</w:t>
      </w:r>
      <w:r>
        <w:rPr>
          <w:rFonts w:hint="eastAsia" w:eastAsia="仿宋_GB2312"/>
          <w:b/>
          <w:bCs/>
          <w:spacing w:val="20"/>
          <w:szCs w:val="24"/>
        </w:rPr>
        <w:t>南角</w:t>
      </w:r>
      <w:r>
        <w:rPr>
          <w:rFonts w:eastAsia="仿宋_GB2312"/>
          <w:b/>
          <w:bCs/>
          <w:spacing w:val="20"/>
          <w:szCs w:val="24"/>
        </w:rPr>
        <w:t xml:space="preserve">  </w:t>
      </w:r>
    </w:p>
    <w:p>
      <w:pPr>
        <w:spacing w:line="360" w:lineRule="auto"/>
        <w:ind w:left="-785" w:leftChars="-327" w:right="-362" w:rightChars="-151" w:firstLine="562" w:firstLineChars="200"/>
        <w:rPr>
          <w:rFonts w:eastAsia="仿宋_GB2312"/>
          <w:b/>
          <w:bCs/>
          <w:spacing w:val="20"/>
          <w:szCs w:val="24"/>
        </w:rPr>
      </w:pPr>
    </w:p>
    <w:p>
      <w:pPr>
        <w:spacing w:line="360" w:lineRule="auto"/>
        <w:ind w:left="-785" w:leftChars="-327" w:right="-362" w:rightChars="-151" w:firstLine="562" w:firstLineChars="200"/>
        <w:rPr>
          <w:rFonts w:eastAsia="仿宋_GB2312"/>
          <w:b/>
          <w:bCs/>
          <w:spacing w:val="20"/>
          <w:szCs w:val="24"/>
        </w:rPr>
      </w:pPr>
    </w:p>
    <w:p>
      <w:pPr>
        <w:spacing w:line="360" w:lineRule="auto"/>
        <w:ind w:left="-785" w:leftChars="-327" w:right="-362" w:rightChars="-151" w:firstLine="562" w:firstLineChars="200"/>
        <w:rPr>
          <w:rFonts w:eastAsia="仿宋_GB2312"/>
          <w:b/>
          <w:bCs/>
          <w:spacing w:val="20"/>
          <w:szCs w:val="24"/>
        </w:rPr>
      </w:pPr>
      <w:r>
        <w:rPr>
          <w:rFonts w:hint="eastAsia" w:eastAsia="仿宋_GB2312"/>
          <w:b/>
          <w:bCs/>
          <w:spacing w:val="20"/>
          <w:szCs w:val="24"/>
        </w:rPr>
        <w:t>编制单位</w:t>
      </w:r>
      <w:r>
        <w:rPr>
          <w:rFonts w:eastAsia="仿宋_GB2312"/>
          <w:b/>
          <w:bCs/>
          <w:spacing w:val="20"/>
          <w:szCs w:val="24"/>
        </w:rPr>
        <w:t>:</w:t>
      </w:r>
      <w:r>
        <w:rPr>
          <w:rFonts w:hint="eastAsia" w:eastAsia="仿宋_GB2312"/>
          <w:b/>
          <w:bCs/>
          <w:spacing w:val="20"/>
          <w:szCs w:val="24"/>
        </w:rPr>
        <w:t>新乡市公共交通集团有限责任公司</w:t>
      </w:r>
      <w:r>
        <w:rPr>
          <w:rFonts w:hint="eastAsia" w:eastAsia="仿宋_GB2312"/>
          <w:b/>
          <w:bCs/>
          <w:spacing w:val="20"/>
          <w:szCs w:val="24"/>
          <w:lang w:val="en-US" w:eastAsia="zh-CN"/>
        </w:rPr>
        <w:t>柳青路</w:t>
      </w:r>
      <w:r>
        <w:rPr>
          <w:rFonts w:hint="eastAsia" w:eastAsia="仿宋_GB2312"/>
          <w:b/>
          <w:bCs/>
          <w:spacing w:val="20"/>
          <w:szCs w:val="24"/>
        </w:rPr>
        <w:t>加油站</w:t>
      </w:r>
      <w:r>
        <w:rPr>
          <w:rFonts w:eastAsia="仿宋_GB2312"/>
          <w:b/>
          <w:bCs/>
          <w:spacing w:val="20"/>
          <w:szCs w:val="24"/>
        </w:rPr>
        <w:t xml:space="preserve">   </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电话:</w:t>
      </w:r>
      <w:r>
        <w:rPr>
          <w:rFonts w:hint="eastAsia" w:eastAsia="仿宋_GB2312"/>
          <w:b/>
          <w:bCs/>
          <w:spacing w:val="20"/>
          <w:szCs w:val="24"/>
        </w:rPr>
        <w:t>13663808440</w:t>
      </w:r>
      <w:r>
        <w:rPr>
          <w:rFonts w:eastAsia="仿宋_GB2312"/>
          <w:b/>
          <w:bCs/>
          <w:spacing w:val="20"/>
          <w:szCs w:val="24"/>
        </w:rPr>
        <w:t xml:space="preserve">                                     </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传真:/</w:t>
      </w:r>
    </w:p>
    <w:p>
      <w:pPr>
        <w:spacing w:line="360" w:lineRule="auto"/>
        <w:ind w:left="-785" w:leftChars="-327" w:right="-362" w:rightChars="-151" w:firstLine="562" w:firstLineChars="200"/>
        <w:rPr>
          <w:rFonts w:eastAsia="仿宋_GB2312"/>
          <w:b/>
          <w:bCs/>
          <w:spacing w:val="20"/>
          <w:szCs w:val="24"/>
        </w:rPr>
      </w:pPr>
      <w:r>
        <w:rPr>
          <w:rFonts w:eastAsia="仿宋_GB2312"/>
          <w:b/>
          <w:bCs/>
          <w:spacing w:val="20"/>
          <w:szCs w:val="24"/>
        </w:rPr>
        <w:t>邮编:4530</w:t>
      </w:r>
      <w:r>
        <w:rPr>
          <w:rFonts w:hint="eastAsia" w:eastAsia="仿宋_GB2312"/>
          <w:b/>
          <w:bCs/>
          <w:spacing w:val="20"/>
          <w:szCs w:val="24"/>
        </w:rPr>
        <w:t>00</w:t>
      </w:r>
      <w:r>
        <w:rPr>
          <w:rFonts w:eastAsia="仿宋_GB2312"/>
          <w:b/>
          <w:bCs/>
          <w:spacing w:val="20"/>
          <w:szCs w:val="24"/>
        </w:rPr>
        <w:t xml:space="preserve">                  </w:t>
      </w:r>
    </w:p>
    <w:p>
      <w:pPr>
        <w:spacing w:line="360" w:lineRule="auto"/>
        <w:ind w:left="-785" w:leftChars="-327" w:right="-362" w:rightChars="-151" w:firstLine="562" w:firstLineChars="200"/>
        <w:rPr>
          <w:rFonts w:ascii="仿宋_GB2312" w:hAnsi="仿宋_GB2312" w:eastAsia="仿宋_GB2312"/>
          <w:b/>
          <w:bCs/>
          <w:spacing w:val="20"/>
          <w:szCs w:val="24"/>
        </w:rPr>
        <w:sectPr>
          <w:pgSz w:w="11906" w:h="16838"/>
          <w:pgMar w:top="1440" w:right="1800" w:bottom="1440" w:left="1800" w:header="708" w:footer="708" w:gutter="0"/>
          <w:cols w:space="720" w:num="1"/>
          <w:docGrid w:type="lines" w:linePitch="360" w:charSpace="0"/>
        </w:sectPr>
      </w:pPr>
      <w:r>
        <w:rPr>
          <w:rFonts w:eastAsia="仿宋_GB2312"/>
          <w:b/>
          <w:bCs/>
          <w:spacing w:val="20"/>
          <w:szCs w:val="24"/>
        </w:rPr>
        <w:t>地址:</w:t>
      </w:r>
      <w:r>
        <w:rPr>
          <w:rFonts w:hint="eastAsia" w:eastAsia="仿宋_GB2312"/>
          <w:b/>
          <w:bCs/>
          <w:spacing w:val="20"/>
          <w:szCs w:val="24"/>
        </w:rPr>
        <w:t>河南省新乡市高新区</w:t>
      </w:r>
      <w:r>
        <w:rPr>
          <w:rFonts w:hint="eastAsia" w:eastAsia="仿宋_GB2312"/>
          <w:b/>
          <w:bCs/>
          <w:spacing w:val="20"/>
          <w:szCs w:val="24"/>
          <w:lang w:val="en-US" w:eastAsia="zh-CN"/>
        </w:rPr>
        <w:t>柳青路与新二街东</w:t>
      </w:r>
      <w:r>
        <w:rPr>
          <w:rFonts w:hint="eastAsia" w:eastAsia="仿宋_GB2312"/>
          <w:b/>
          <w:bCs/>
          <w:spacing w:val="20"/>
          <w:szCs w:val="24"/>
        </w:rPr>
        <w:t>南角</w:t>
      </w:r>
      <w:r>
        <w:rPr>
          <w:rFonts w:eastAsia="仿宋_GB2312"/>
          <w:b/>
          <w:bCs/>
          <w:spacing w:val="20"/>
          <w:szCs w:val="24"/>
        </w:rPr>
        <w:t xml:space="preserve">       </w:t>
      </w:r>
    </w:p>
    <w:p>
      <w:pPr>
        <w:spacing w:line="360" w:lineRule="auto"/>
        <w:ind w:left="-785" w:leftChars="-327" w:right="-362" w:rightChars="-151" w:firstLine="562" w:firstLineChars="200"/>
        <w:rPr>
          <w:rFonts w:ascii="仿宋_GB2312" w:hAnsi="仿宋_GB2312" w:eastAsia="仿宋_GB2312"/>
          <w:b/>
          <w:bCs/>
          <w:spacing w:val="20"/>
          <w:szCs w:val="24"/>
        </w:rPr>
        <w:sectPr>
          <w:pgSz w:w="11906" w:h="16838"/>
          <w:pgMar w:top="1440" w:right="1800" w:bottom="1440" w:left="1800" w:header="708" w:footer="708" w:gutter="0"/>
          <w:cols w:space="720" w:num="1"/>
          <w:docGrid w:type="lines" w:linePitch="360" w:charSpace="0"/>
        </w:sectPr>
      </w:pPr>
      <w:r>
        <w:rPr>
          <w:rFonts w:eastAsia="仿宋_GB2312"/>
          <w:b/>
          <w:bCs/>
          <w:spacing w:val="20"/>
          <w:szCs w:val="24"/>
        </w:rPr>
        <w:t xml:space="preserve">     </w:t>
      </w:r>
    </w:p>
    <w:p>
      <w:pPr>
        <w:spacing w:line="440" w:lineRule="exact"/>
        <w:rPr>
          <w:rFonts w:eastAsia="仿宋_GB2312"/>
          <w:b/>
          <w:szCs w:val="24"/>
        </w:rPr>
      </w:pPr>
      <w:r>
        <w:rPr>
          <w:rFonts w:eastAsia="仿宋_GB2312"/>
          <w:b/>
          <w:szCs w:val="24"/>
        </w:rPr>
        <w:t>表一</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418"/>
        <w:gridCol w:w="1756"/>
        <w:gridCol w:w="833"/>
        <w:gridCol w:w="769"/>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建设项目名称</w:t>
            </w:r>
          </w:p>
        </w:tc>
        <w:tc>
          <w:tcPr>
            <w:tcW w:w="3952" w:type="pct"/>
            <w:gridSpan w:val="5"/>
            <w:vAlign w:val="center"/>
          </w:tcPr>
          <w:p>
            <w:pPr>
              <w:pStyle w:val="28"/>
              <w:spacing w:before="0" w:beforeAutospacing="0"/>
              <w:rPr>
                <w:szCs w:val="24"/>
              </w:rPr>
            </w:pPr>
            <w:r>
              <w:rPr>
                <w:rFonts w:hint="eastAsia"/>
                <w:szCs w:val="24"/>
              </w:rPr>
              <w:t>新乡市公共交通集团有限责任公司</w:t>
            </w:r>
            <w:r>
              <w:rPr>
                <w:rFonts w:hint="eastAsia"/>
                <w:szCs w:val="24"/>
                <w:lang w:val="en-US" w:eastAsia="zh-CN"/>
              </w:rPr>
              <w:t>柳青路</w:t>
            </w:r>
            <w:r>
              <w:rPr>
                <w:rFonts w:hint="eastAsia"/>
                <w:szCs w:val="24"/>
              </w:rPr>
              <w:t>加油站项目</w:t>
            </w:r>
          </w:p>
          <w:p>
            <w:pPr>
              <w:pStyle w:val="28"/>
              <w:spacing w:before="0" w:beforeAutospacing="0"/>
              <w:rPr>
                <w:w w:val="95"/>
                <w:szCs w:val="24"/>
              </w:rPr>
            </w:pPr>
            <w:r>
              <w:rPr>
                <w:rFonts w:hint="eastAsia"/>
                <w:w w:val="95"/>
                <w:szCs w:val="24"/>
              </w:rPr>
              <w:t>（</w:t>
            </w:r>
            <w:r>
              <w:rPr>
                <w:rFonts w:hint="eastAsia"/>
                <w:color w:val="auto"/>
                <w:sz w:val="24"/>
                <w:szCs w:val="24"/>
              </w:rPr>
              <w:t>原项目名称：新乡市公共交通总公司新一中公交油气站项目</w:t>
            </w:r>
            <w:r>
              <w:rPr>
                <w:rFonts w:hint="eastAsia"/>
                <w:w w:val="95"/>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建设单位名称</w:t>
            </w:r>
          </w:p>
        </w:tc>
        <w:tc>
          <w:tcPr>
            <w:tcW w:w="3952" w:type="pct"/>
            <w:gridSpan w:val="5"/>
            <w:vAlign w:val="center"/>
          </w:tcPr>
          <w:p>
            <w:pPr>
              <w:pStyle w:val="28"/>
              <w:spacing w:before="0" w:beforeAutospacing="0"/>
              <w:rPr>
                <w:szCs w:val="24"/>
              </w:rPr>
            </w:pPr>
            <w:r>
              <w:rPr>
                <w:rFonts w:hint="eastAsia"/>
                <w:szCs w:val="24"/>
              </w:rPr>
              <w:t>新乡市公共交通集团有限责任公司</w:t>
            </w:r>
            <w:r>
              <w:rPr>
                <w:rFonts w:hint="eastAsia"/>
                <w:szCs w:val="24"/>
                <w:lang w:val="en-US" w:eastAsia="zh-CN"/>
              </w:rPr>
              <w:t>柳青路加油</w:t>
            </w:r>
            <w:r>
              <w:rPr>
                <w:rFonts w:hint="eastAsia"/>
                <w:szCs w:val="24"/>
              </w:rPr>
              <w:t>站</w:t>
            </w:r>
          </w:p>
          <w:p>
            <w:pPr>
              <w:pStyle w:val="28"/>
              <w:spacing w:before="0" w:beforeAutospacing="0"/>
              <w:rPr>
                <w:szCs w:val="24"/>
              </w:rPr>
            </w:pPr>
            <w:r>
              <w:rPr>
                <w:rFonts w:hint="eastAsia"/>
                <w:szCs w:val="24"/>
              </w:rPr>
              <w:t>（原建设单位名称：</w:t>
            </w:r>
            <w:r>
              <w:rPr>
                <w:rFonts w:hint="eastAsia"/>
                <w:color w:val="auto"/>
                <w:sz w:val="24"/>
                <w:szCs w:val="24"/>
              </w:rPr>
              <w:t>新乡市豫海恒能源有限公司新一中加油加气站</w:t>
            </w:r>
            <w:r>
              <w:rPr>
                <w:rFonts w:hint="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建设项目性质</w:t>
            </w:r>
          </w:p>
        </w:tc>
        <w:tc>
          <w:tcPr>
            <w:tcW w:w="3952" w:type="pct"/>
            <w:gridSpan w:val="5"/>
            <w:vAlign w:val="center"/>
          </w:tcPr>
          <w:p>
            <w:pPr>
              <w:pStyle w:val="28"/>
              <w:rPr>
                <w:szCs w:val="24"/>
              </w:rPr>
            </w:pPr>
            <w:r>
              <w:rPr>
                <w:szCs w:val="24"/>
              </w:rPr>
              <w:t>新建√</w:t>
            </w:r>
            <w:r>
              <w:rPr>
                <w:rFonts w:hint="eastAsia"/>
                <w:szCs w:val="24"/>
              </w:rPr>
              <w:t xml:space="preserve">   </w:t>
            </w:r>
            <w:r>
              <w:rPr>
                <w:szCs w:val="24"/>
              </w:rPr>
              <w:t>改扩建</w:t>
            </w:r>
            <w:r>
              <w:rPr>
                <w:rFonts w:hint="eastAsia"/>
                <w:szCs w:val="24"/>
              </w:rPr>
              <w:t xml:space="preserve">   </w:t>
            </w:r>
            <w:r>
              <w:rPr>
                <w:szCs w:val="24"/>
              </w:rPr>
              <w:t>技改迁建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建设地点</w:t>
            </w:r>
          </w:p>
        </w:tc>
        <w:tc>
          <w:tcPr>
            <w:tcW w:w="3952" w:type="pct"/>
            <w:gridSpan w:val="5"/>
            <w:vAlign w:val="center"/>
          </w:tcPr>
          <w:p>
            <w:pPr>
              <w:pStyle w:val="28"/>
              <w:rPr>
                <w:szCs w:val="24"/>
              </w:rPr>
            </w:pPr>
            <w:r>
              <w:rPr>
                <w:rFonts w:hint="eastAsia"/>
                <w:color w:val="auto"/>
                <w:sz w:val="24"/>
                <w:szCs w:val="24"/>
                <w:lang w:val="en-US" w:eastAsia="zh-CN"/>
              </w:rPr>
              <w:t>河南省</w:t>
            </w:r>
            <w:r>
              <w:rPr>
                <w:rFonts w:hint="eastAsia"/>
                <w:color w:val="auto"/>
                <w:sz w:val="24"/>
                <w:szCs w:val="24"/>
              </w:rPr>
              <w:t>新乡市</w:t>
            </w:r>
            <w:r>
              <w:rPr>
                <w:rFonts w:hint="eastAsia"/>
                <w:color w:val="auto"/>
                <w:sz w:val="24"/>
                <w:szCs w:val="24"/>
                <w:lang w:val="en-US" w:eastAsia="zh-CN"/>
              </w:rPr>
              <w:t>高新区</w:t>
            </w:r>
            <w:r>
              <w:rPr>
                <w:rFonts w:hint="eastAsia"/>
                <w:color w:val="auto"/>
                <w:sz w:val="24"/>
                <w:szCs w:val="24"/>
              </w:rPr>
              <w:t>柳青路与新二街东南角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主要产品名称</w:t>
            </w:r>
          </w:p>
        </w:tc>
        <w:tc>
          <w:tcPr>
            <w:tcW w:w="3952" w:type="pct"/>
            <w:gridSpan w:val="5"/>
            <w:vAlign w:val="center"/>
          </w:tcPr>
          <w:p>
            <w:pPr>
              <w:pStyle w:val="28"/>
              <w:rPr>
                <w:szCs w:val="24"/>
              </w:rPr>
            </w:pPr>
            <w:r>
              <w:rPr>
                <w:rFonts w:hint="eastAsia"/>
                <w:szCs w:val="24"/>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设计生产能力</w:t>
            </w:r>
          </w:p>
        </w:tc>
        <w:tc>
          <w:tcPr>
            <w:tcW w:w="3952" w:type="pct"/>
            <w:gridSpan w:val="5"/>
            <w:vAlign w:val="center"/>
          </w:tcPr>
          <w:p>
            <w:pPr>
              <w:pStyle w:val="28"/>
              <w:rPr>
                <w:szCs w:val="24"/>
              </w:rPr>
            </w:pPr>
            <w:r>
              <w:rPr>
                <w:rFonts w:hint="eastAsia"/>
                <w:szCs w:val="24"/>
              </w:rPr>
              <w:t>年加CNG气1000万方、柴油500吨、汽油2000吨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实际生产能力</w:t>
            </w:r>
          </w:p>
        </w:tc>
        <w:tc>
          <w:tcPr>
            <w:tcW w:w="3952" w:type="pct"/>
            <w:gridSpan w:val="5"/>
            <w:vAlign w:val="center"/>
          </w:tcPr>
          <w:p>
            <w:pPr>
              <w:pStyle w:val="28"/>
              <w:rPr>
                <w:szCs w:val="24"/>
              </w:rPr>
            </w:pPr>
            <w:r>
              <w:rPr>
                <w:rFonts w:hint="eastAsia"/>
                <w:szCs w:val="24"/>
              </w:rPr>
              <w:t>年加汽油</w:t>
            </w:r>
            <w:r>
              <w:rPr>
                <w:rFonts w:hint="eastAsia"/>
                <w:szCs w:val="24"/>
                <w:lang w:val="en-US" w:eastAsia="zh-CN"/>
              </w:rPr>
              <w:t>2000</w:t>
            </w:r>
            <w:r>
              <w:rPr>
                <w:rFonts w:hint="eastAsia"/>
                <w:szCs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建设项目环评时间</w:t>
            </w:r>
          </w:p>
        </w:tc>
        <w:tc>
          <w:tcPr>
            <w:tcW w:w="1418" w:type="pct"/>
            <w:vAlign w:val="center"/>
          </w:tcPr>
          <w:p>
            <w:pPr>
              <w:pStyle w:val="28"/>
              <w:rPr>
                <w:szCs w:val="24"/>
              </w:rPr>
            </w:pPr>
            <w:r>
              <w:rPr>
                <w:rFonts w:hint="eastAsia"/>
                <w:szCs w:val="24"/>
              </w:rPr>
              <w:t>2017.11</w:t>
            </w:r>
          </w:p>
        </w:tc>
        <w:tc>
          <w:tcPr>
            <w:tcW w:w="1030" w:type="pct"/>
            <w:vAlign w:val="center"/>
          </w:tcPr>
          <w:p>
            <w:pPr>
              <w:pStyle w:val="28"/>
              <w:rPr>
                <w:szCs w:val="24"/>
              </w:rPr>
            </w:pPr>
            <w:r>
              <w:rPr>
                <w:rFonts w:hint="eastAsia"/>
                <w:szCs w:val="24"/>
              </w:rPr>
              <w:t>开工建设时间</w:t>
            </w:r>
          </w:p>
        </w:tc>
        <w:tc>
          <w:tcPr>
            <w:tcW w:w="1503" w:type="pct"/>
            <w:gridSpan w:val="3"/>
            <w:vAlign w:val="center"/>
          </w:tcPr>
          <w:p>
            <w:pPr>
              <w:pStyle w:val="28"/>
              <w:rPr>
                <w:szCs w:val="24"/>
              </w:rPr>
            </w:pPr>
            <w:r>
              <w:rPr>
                <w:rFonts w:hint="eastAsia"/>
                <w:szCs w:val="24"/>
              </w:rP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调试时间</w:t>
            </w:r>
          </w:p>
        </w:tc>
        <w:tc>
          <w:tcPr>
            <w:tcW w:w="1418" w:type="pct"/>
            <w:vAlign w:val="center"/>
          </w:tcPr>
          <w:p>
            <w:pPr>
              <w:pStyle w:val="28"/>
              <w:rPr>
                <w:szCs w:val="24"/>
              </w:rPr>
            </w:pPr>
            <w:r>
              <w:rPr>
                <w:rFonts w:hint="eastAsia"/>
                <w:szCs w:val="24"/>
              </w:rPr>
              <w:t>2022.</w:t>
            </w:r>
            <w:r>
              <w:rPr>
                <w:rFonts w:hint="eastAsia"/>
                <w:szCs w:val="24"/>
                <w:lang w:val="en-US" w:eastAsia="zh-CN"/>
              </w:rPr>
              <w:t>8</w:t>
            </w:r>
            <w:r>
              <w:rPr>
                <w:rFonts w:hint="eastAsia"/>
                <w:szCs w:val="24"/>
              </w:rPr>
              <w:t>.1.-2022.</w:t>
            </w:r>
            <w:r>
              <w:rPr>
                <w:rFonts w:hint="eastAsia"/>
                <w:szCs w:val="24"/>
                <w:lang w:val="en-US" w:eastAsia="zh-CN"/>
              </w:rPr>
              <w:t>8</w:t>
            </w:r>
            <w:r>
              <w:rPr>
                <w:rFonts w:hint="eastAsia"/>
                <w:szCs w:val="24"/>
              </w:rPr>
              <w:t>.14</w:t>
            </w:r>
          </w:p>
        </w:tc>
        <w:tc>
          <w:tcPr>
            <w:tcW w:w="1030" w:type="pct"/>
            <w:vAlign w:val="center"/>
          </w:tcPr>
          <w:p>
            <w:pPr>
              <w:pStyle w:val="28"/>
              <w:rPr>
                <w:szCs w:val="24"/>
              </w:rPr>
            </w:pPr>
            <w:r>
              <w:rPr>
                <w:rFonts w:hint="eastAsia"/>
                <w:szCs w:val="24"/>
              </w:rPr>
              <w:t>验收现场监测时间</w:t>
            </w:r>
          </w:p>
        </w:tc>
        <w:tc>
          <w:tcPr>
            <w:tcW w:w="1503" w:type="pct"/>
            <w:gridSpan w:val="3"/>
            <w:vAlign w:val="center"/>
          </w:tcPr>
          <w:p>
            <w:pPr>
              <w:pStyle w:val="28"/>
              <w:rPr>
                <w:rFonts w:hint="eastAsia" w:eastAsia="宋体"/>
                <w:szCs w:val="24"/>
                <w:lang w:eastAsia="zh-CN"/>
              </w:rPr>
            </w:pPr>
            <w:r>
              <w:rPr>
                <w:rFonts w:hint="eastAsia"/>
                <w:szCs w:val="24"/>
              </w:rPr>
              <w:t>2022.</w:t>
            </w:r>
            <w:r>
              <w:rPr>
                <w:rFonts w:hint="eastAsia"/>
                <w:szCs w:val="24"/>
                <w:lang w:val="en-US" w:eastAsia="zh-CN"/>
              </w:rPr>
              <w:t>8</w:t>
            </w:r>
            <w:r>
              <w:rPr>
                <w:rFonts w:hint="eastAsia"/>
                <w:szCs w:val="24"/>
              </w:rPr>
              <w:t>.</w:t>
            </w:r>
            <w:r>
              <w:rPr>
                <w:rFonts w:hint="eastAsia"/>
                <w:szCs w:val="24"/>
                <w:lang w:val="en-US" w:eastAsia="zh-CN"/>
              </w:rPr>
              <w:t>8</w:t>
            </w:r>
            <w:r>
              <w:rPr>
                <w:rFonts w:hint="eastAsia"/>
                <w:szCs w:val="24"/>
              </w:rPr>
              <w:t>-2022.</w:t>
            </w:r>
            <w:r>
              <w:rPr>
                <w:rFonts w:hint="eastAsia"/>
                <w:szCs w:val="24"/>
                <w:lang w:val="en-US" w:eastAsia="zh-CN"/>
              </w:rPr>
              <w:t>8</w:t>
            </w:r>
            <w:r>
              <w:rPr>
                <w:rFonts w:hint="eastAsia"/>
                <w:szCs w:val="24"/>
              </w:rPr>
              <w:t>.</w:t>
            </w:r>
            <w:r>
              <w:rPr>
                <w:rFonts w:hint="eastAsia"/>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环评报告表审批部门</w:t>
            </w:r>
          </w:p>
        </w:tc>
        <w:tc>
          <w:tcPr>
            <w:tcW w:w="1418" w:type="pct"/>
            <w:vAlign w:val="center"/>
          </w:tcPr>
          <w:p>
            <w:pPr>
              <w:pStyle w:val="28"/>
              <w:rPr>
                <w:szCs w:val="24"/>
              </w:rPr>
            </w:pPr>
            <w:r>
              <w:rPr>
                <w:rFonts w:hint="eastAsia"/>
                <w:szCs w:val="24"/>
              </w:rPr>
              <w:t>新乡高新技术产业开发区管理委员会综合监管和执法局</w:t>
            </w:r>
          </w:p>
        </w:tc>
        <w:tc>
          <w:tcPr>
            <w:tcW w:w="1030" w:type="pct"/>
            <w:vAlign w:val="center"/>
          </w:tcPr>
          <w:p>
            <w:pPr>
              <w:pStyle w:val="28"/>
              <w:rPr>
                <w:szCs w:val="24"/>
              </w:rPr>
            </w:pPr>
            <w:r>
              <w:rPr>
                <w:rFonts w:hint="eastAsia"/>
                <w:szCs w:val="24"/>
              </w:rPr>
              <w:t>环评报告表编制单位</w:t>
            </w:r>
          </w:p>
        </w:tc>
        <w:tc>
          <w:tcPr>
            <w:tcW w:w="1503" w:type="pct"/>
            <w:gridSpan w:val="3"/>
            <w:vAlign w:val="center"/>
          </w:tcPr>
          <w:p>
            <w:pPr>
              <w:pStyle w:val="28"/>
              <w:rPr>
                <w:szCs w:val="24"/>
              </w:rPr>
            </w:pPr>
            <w:r>
              <w:rPr>
                <w:rFonts w:hint="eastAsia"/>
                <w:szCs w:val="24"/>
              </w:rPr>
              <w:t>济源蓝天科技有限责任公司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环保设施设计单位</w:t>
            </w:r>
          </w:p>
        </w:tc>
        <w:tc>
          <w:tcPr>
            <w:tcW w:w="1418" w:type="pct"/>
            <w:vAlign w:val="center"/>
          </w:tcPr>
          <w:p>
            <w:pPr>
              <w:pStyle w:val="28"/>
              <w:rPr>
                <w:szCs w:val="24"/>
              </w:rPr>
            </w:pPr>
            <w:r>
              <w:rPr>
                <w:rFonts w:hint="eastAsia"/>
                <w:szCs w:val="24"/>
              </w:rPr>
              <w:t>新乡市公共交通集团有限责任公司</w:t>
            </w:r>
            <w:r>
              <w:rPr>
                <w:rFonts w:hint="eastAsia"/>
                <w:szCs w:val="24"/>
                <w:lang w:val="en-US" w:eastAsia="zh-CN"/>
              </w:rPr>
              <w:t>柳青路</w:t>
            </w:r>
            <w:r>
              <w:rPr>
                <w:rFonts w:hint="eastAsia"/>
                <w:szCs w:val="24"/>
              </w:rPr>
              <w:t>加油站</w:t>
            </w:r>
          </w:p>
        </w:tc>
        <w:tc>
          <w:tcPr>
            <w:tcW w:w="1030" w:type="pct"/>
            <w:vAlign w:val="center"/>
          </w:tcPr>
          <w:p>
            <w:pPr>
              <w:pStyle w:val="28"/>
              <w:rPr>
                <w:szCs w:val="24"/>
              </w:rPr>
            </w:pPr>
            <w:r>
              <w:rPr>
                <w:rFonts w:hint="eastAsia"/>
                <w:szCs w:val="24"/>
              </w:rPr>
              <w:t>环保设施施工单位</w:t>
            </w:r>
          </w:p>
        </w:tc>
        <w:tc>
          <w:tcPr>
            <w:tcW w:w="1503" w:type="pct"/>
            <w:gridSpan w:val="3"/>
            <w:vAlign w:val="center"/>
          </w:tcPr>
          <w:p>
            <w:pPr>
              <w:pStyle w:val="28"/>
              <w:rPr>
                <w:szCs w:val="24"/>
              </w:rPr>
            </w:pPr>
            <w:r>
              <w:rPr>
                <w:rFonts w:hint="eastAsia"/>
                <w:szCs w:val="24"/>
              </w:rPr>
              <w:t>新乡市公共交通集团有限责任公司</w:t>
            </w:r>
            <w:r>
              <w:rPr>
                <w:rFonts w:hint="eastAsia"/>
                <w:szCs w:val="24"/>
                <w:lang w:eastAsia="zh-CN"/>
              </w:rPr>
              <w:t>柳青路加油</w:t>
            </w:r>
            <w:r>
              <w:rPr>
                <w:rFonts w:hint="eastAsia"/>
                <w:szCs w:val="24"/>
              </w:rPr>
              <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投资总概算</w:t>
            </w:r>
          </w:p>
        </w:tc>
        <w:tc>
          <w:tcPr>
            <w:tcW w:w="1418" w:type="pct"/>
            <w:vAlign w:val="center"/>
          </w:tcPr>
          <w:p>
            <w:pPr>
              <w:pStyle w:val="28"/>
              <w:rPr>
                <w:szCs w:val="24"/>
              </w:rPr>
            </w:pPr>
            <w:r>
              <w:rPr>
                <w:rFonts w:hint="eastAsia"/>
                <w:szCs w:val="24"/>
              </w:rPr>
              <w:t>600万</w:t>
            </w:r>
          </w:p>
        </w:tc>
        <w:tc>
          <w:tcPr>
            <w:tcW w:w="1030" w:type="pct"/>
            <w:vAlign w:val="center"/>
          </w:tcPr>
          <w:p>
            <w:pPr>
              <w:pStyle w:val="28"/>
              <w:rPr>
                <w:szCs w:val="24"/>
              </w:rPr>
            </w:pPr>
            <w:r>
              <w:rPr>
                <w:rFonts w:hint="eastAsia"/>
                <w:szCs w:val="24"/>
              </w:rPr>
              <w:t>环保投资总概算</w:t>
            </w:r>
          </w:p>
        </w:tc>
        <w:tc>
          <w:tcPr>
            <w:tcW w:w="488" w:type="pct"/>
            <w:vAlign w:val="center"/>
          </w:tcPr>
          <w:p>
            <w:pPr>
              <w:pStyle w:val="28"/>
              <w:rPr>
                <w:szCs w:val="24"/>
              </w:rPr>
            </w:pPr>
            <w:r>
              <w:rPr>
                <w:rFonts w:hint="eastAsia"/>
                <w:szCs w:val="24"/>
              </w:rPr>
              <w:t>20万</w:t>
            </w:r>
          </w:p>
        </w:tc>
        <w:tc>
          <w:tcPr>
            <w:tcW w:w="451" w:type="pct"/>
            <w:vAlign w:val="center"/>
          </w:tcPr>
          <w:p>
            <w:pPr>
              <w:pStyle w:val="28"/>
              <w:rPr>
                <w:szCs w:val="24"/>
              </w:rPr>
            </w:pPr>
            <w:r>
              <w:rPr>
                <w:rFonts w:hint="eastAsia"/>
                <w:szCs w:val="24"/>
              </w:rPr>
              <w:t>比例</w:t>
            </w:r>
          </w:p>
        </w:tc>
        <w:tc>
          <w:tcPr>
            <w:tcW w:w="563" w:type="pct"/>
            <w:vAlign w:val="center"/>
          </w:tcPr>
          <w:p>
            <w:pPr>
              <w:pStyle w:val="28"/>
              <w:rPr>
                <w:szCs w:val="24"/>
              </w:rPr>
            </w:pPr>
            <w:r>
              <w:rPr>
                <w:rFonts w:hint="eastAsia"/>
                <w:szCs w:val="24"/>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8"/>
              <w:rPr>
                <w:szCs w:val="24"/>
              </w:rPr>
            </w:pPr>
            <w:r>
              <w:rPr>
                <w:szCs w:val="24"/>
              </w:rPr>
              <w:t>实际总概算</w:t>
            </w:r>
          </w:p>
        </w:tc>
        <w:tc>
          <w:tcPr>
            <w:tcW w:w="1418" w:type="pct"/>
            <w:vAlign w:val="center"/>
          </w:tcPr>
          <w:p>
            <w:pPr>
              <w:pStyle w:val="28"/>
              <w:rPr>
                <w:szCs w:val="24"/>
              </w:rPr>
            </w:pPr>
            <w:r>
              <w:rPr>
                <w:rFonts w:hint="eastAsia"/>
                <w:szCs w:val="24"/>
              </w:rPr>
              <w:t>600万</w:t>
            </w:r>
          </w:p>
        </w:tc>
        <w:tc>
          <w:tcPr>
            <w:tcW w:w="1030" w:type="pct"/>
            <w:vAlign w:val="center"/>
          </w:tcPr>
          <w:p>
            <w:pPr>
              <w:pStyle w:val="28"/>
              <w:rPr>
                <w:szCs w:val="24"/>
              </w:rPr>
            </w:pPr>
            <w:r>
              <w:rPr>
                <w:rFonts w:hint="eastAsia"/>
                <w:szCs w:val="24"/>
              </w:rPr>
              <w:t>环保投资</w:t>
            </w:r>
          </w:p>
        </w:tc>
        <w:tc>
          <w:tcPr>
            <w:tcW w:w="488" w:type="pct"/>
            <w:vAlign w:val="center"/>
          </w:tcPr>
          <w:p>
            <w:pPr>
              <w:pStyle w:val="28"/>
              <w:rPr>
                <w:szCs w:val="24"/>
              </w:rPr>
            </w:pPr>
            <w:r>
              <w:rPr>
                <w:rFonts w:hint="eastAsia"/>
                <w:szCs w:val="24"/>
              </w:rPr>
              <w:t>20万</w:t>
            </w:r>
          </w:p>
        </w:tc>
        <w:tc>
          <w:tcPr>
            <w:tcW w:w="451" w:type="pct"/>
            <w:vAlign w:val="center"/>
          </w:tcPr>
          <w:p>
            <w:pPr>
              <w:pStyle w:val="28"/>
              <w:rPr>
                <w:szCs w:val="24"/>
              </w:rPr>
            </w:pPr>
            <w:r>
              <w:rPr>
                <w:rFonts w:hint="eastAsia"/>
                <w:szCs w:val="24"/>
              </w:rPr>
              <w:t>比例</w:t>
            </w:r>
          </w:p>
        </w:tc>
        <w:tc>
          <w:tcPr>
            <w:tcW w:w="563" w:type="pct"/>
            <w:vAlign w:val="center"/>
          </w:tcPr>
          <w:p>
            <w:pPr>
              <w:pStyle w:val="28"/>
              <w:rPr>
                <w:szCs w:val="24"/>
              </w:rPr>
            </w:pPr>
            <w:r>
              <w:rPr>
                <w:rFonts w:hint="eastAsia"/>
                <w:szCs w:val="24"/>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7" w:type="pct"/>
            <w:vAlign w:val="center"/>
          </w:tcPr>
          <w:p>
            <w:pPr>
              <w:pStyle w:val="24"/>
              <w:rPr>
                <w:szCs w:val="24"/>
              </w:rPr>
            </w:pPr>
            <w:r>
              <w:rPr>
                <w:szCs w:val="24"/>
              </w:rPr>
              <w:t>验收监测依据</w:t>
            </w:r>
          </w:p>
        </w:tc>
        <w:tc>
          <w:tcPr>
            <w:tcW w:w="3952" w:type="pct"/>
            <w:gridSpan w:val="5"/>
            <w:vAlign w:val="center"/>
          </w:tcPr>
          <w:p>
            <w:pPr>
              <w:pStyle w:val="24"/>
              <w:rPr>
                <w:rFonts w:hint="default" w:eastAsia="宋体"/>
                <w:szCs w:val="24"/>
                <w:lang w:val="en-US" w:eastAsia="zh-CN"/>
              </w:rPr>
            </w:pPr>
            <w:r>
              <w:rPr>
                <w:rFonts w:hint="eastAsia"/>
                <w:szCs w:val="24"/>
              </w:rPr>
              <w:t>说明：</w:t>
            </w:r>
            <w:r>
              <w:rPr>
                <w:rFonts w:hint="eastAsia"/>
                <w:szCs w:val="24"/>
                <w:lang w:val="en-US" w:eastAsia="zh-CN"/>
              </w:rPr>
              <w:t>本单位于2022年3月24日经新乡市市场监督管理局高新区分局由</w:t>
            </w:r>
            <w:r>
              <w:rPr>
                <w:rFonts w:hint="eastAsia"/>
                <w:color w:val="auto"/>
                <w:sz w:val="24"/>
                <w:szCs w:val="24"/>
              </w:rPr>
              <w:t>新乡市豫海恒能源有限公司新一中加油加气站</w:t>
            </w:r>
            <w:r>
              <w:rPr>
                <w:rFonts w:hint="eastAsia"/>
                <w:color w:val="000000"/>
                <w:szCs w:val="24"/>
                <w:lang w:val="en-US" w:eastAsia="zh-CN"/>
              </w:rPr>
              <w:t>更名为</w:t>
            </w:r>
            <w:r>
              <w:rPr>
                <w:rFonts w:hint="eastAsia"/>
                <w:szCs w:val="24"/>
              </w:rPr>
              <w:t>新乡市公共交通集团有限责任公司</w:t>
            </w:r>
            <w:r>
              <w:rPr>
                <w:rFonts w:hint="eastAsia"/>
                <w:szCs w:val="24"/>
                <w:lang w:eastAsia="zh-CN"/>
              </w:rPr>
              <w:t>柳青路加油</w:t>
            </w:r>
            <w:r>
              <w:rPr>
                <w:rFonts w:hint="eastAsia"/>
                <w:szCs w:val="24"/>
              </w:rPr>
              <w:t>站</w:t>
            </w:r>
            <w:r>
              <w:rPr>
                <w:rFonts w:hint="eastAsia"/>
                <w:szCs w:val="24"/>
                <w:lang w:eastAsia="zh-CN"/>
              </w:rPr>
              <w:t>，</w:t>
            </w:r>
            <w:r>
              <w:rPr>
                <w:rFonts w:hint="eastAsia"/>
                <w:szCs w:val="24"/>
                <w:lang w:val="en-US" w:eastAsia="zh-CN"/>
              </w:rPr>
              <w:t>手续详见附件5。</w:t>
            </w:r>
          </w:p>
          <w:p>
            <w:pPr>
              <w:pStyle w:val="24"/>
              <w:rPr>
                <w:szCs w:val="24"/>
              </w:rPr>
            </w:pPr>
            <w:r>
              <w:rPr>
                <w:szCs w:val="24"/>
              </w:rPr>
              <w:t>1.《中华人民共和国环境保护法》（主席令2014年第9号）</w:t>
            </w:r>
          </w:p>
          <w:p>
            <w:pPr>
              <w:pStyle w:val="24"/>
              <w:rPr>
                <w:szCs w:val="24"/>
              </w:rPr>
            </w:pPr>
            <w:r>
              <w:rPr>
                <w:szCs w:val="24"/>
              </w:rPr>
              <w:t>2.《中华人民共和国环境影响评价法》</w:t>
            </w:r>
            <w:r>
              <w:rPr>
                <w:rFonts w:hint="eastAsia"/>
                <w:szCs w:val="24"/>
              </w:rPr>
              <w:t>（</w:t>
            </w:r>
            <w:r>
              <w:rPr>
                <w:szCs w:val="24"/>
              </w:rPr>
              <w:t>2018</w:t>
            </w:r>
            <w:r>
              <w:rPr>
                <w:rFonts w:hint="eastAsia"/>
                <w:szCs w:val="24"/>
              </w:rPr>
              <w:t>修正版）</w:t>
            </w:r>
          </w:p>
          <w:p>
            <w:pPr>
              <w:pStyle w:val="24"/>
              <w:rPr>
                <w:szCs w:val="24"/>
              </w:rPr>
            </w:pPr>
            <w:r>
              <w:rPr>
                <w:szCs w:val="24"/>
              </w:rPr>
              <w:t>4.《建设项目环境保护管理条例》</w:t>
            </w:r>
            <w:r>
              <w:rPr>
                <w:rFonts w:hint="eastAsia"/>
                <w:szCs w:val="24"/>
              </w:rPr>
              <w:t>（</w:t>
            </w:r>
            <w:r>
              <w:rPr>
                <w:szCs w:val="24"/>
              </w:rPr>
              <w:t>国务院令第253号</w:t>
            </w:r>
            <w:r>
              <w:rPr>
                <w:rFonts w:hint="eastAsia"/>
                <w:szCs w:val="24"/>
              </w:rPr>
              <w:t>）</w:t>
            </w:r>
          </w:p>
          <w:p>
            <w:pPr>
              <w:pStyle w:val="24"/>
              <w:rPr>
                <w:szCs w:val="24"/>
              </w:rPr>
            </w:pPr>
            <w:r>
              <w:rPr>
                <w:szCs w:val="24"/>
              </w:rPr>
              <w:t>5.《建设项目竣工环境保护验收暂行办法》（国环规环评[2017]4号）</w:t>
            </w:r>
          </w:p>
          <w:p>
            <w:pPr>
              <w:pStyle w:val="24"/>
              <w:rPr>
                <w:szCs w:val="24"/>
              </w:rPr>
            </w:pPr>
            <w:r>
              <w:rPr>
                <w:szCs w:val="24"/>
              </w:rPr>
              <w:t>6.《建设项目竣工环境保护验收技术指南污染影响类》（生态环境部，2018.5.16）</w:t>
            </w:r>
          </w:p>
          <w:p>
            <w:pPr>
              <w:pStyle w:val="24"/>
              <w:rPr>
                <w:szCs w:val="24"/>
              </w:rPr>
            </w:pPr>
            <w:r>
              <w:rPr>
                <w:szCs w:val="24"/>
              </w:rPr>
              <w:t>7.《河南省建设项目环境保护条例》（2016年修正）</w:t>
            </w:r>
          </w:p>
          <w:p>
            <w:pPr>
              <w:pStyle w:val="24"/>
              <w:rPr>
                <w:szCs w:val="24"/>
              </w:rPr>
            </w:pPr>
            <w:r>
              <w:rPr>
                <w:szCs w:val="24"/>
              </w:rPr>
              <w:t>8.</w:t>
            </w:r>
            <w:r>
              <w:rPr>
                <w:rFonts w:hint="eastAsia"/>
                <w:szCs w:val="24"/>
              </w:rPr>
              <w:t>《排污单位自行监测技术指南</w:t>
            </w:r>
            <w:r>
              <w:rPr>
                <w:szCs w:val="24"/>
              </w:rPr>
              <w:t xml:space="preserve">  </w:t>
            </w:r>
            <w:r>
              <w:rPr>
                <w:rFonts w:hint="eastAsia"/>
                <w:szCs w:val="24"/>
              </w:rPr>
              <w:t>储油库、加油站》</w:t>
            </w:r>
            <w:r>
              <w:rPr>
                <w:szCs w:val="24"/>
              </w:rPr>
              <w:t>(HJ</w:t>
            </w:r>
            <w:r>
              <w:rPr>
                <w:rFonts w:hint="eastAsia"/>
                <w:szCs w:val="24"/>
              </w:rPr>
              <w:t>1249</w:t>
            </w:r>
            <w:r>
              <w:rPr>
                <w:szCs w:val="24"/>
              </w:rPr>
              <w:t>-20</w:t>
            </w:r>
            <w:r>
              <w:rPr>
                <w:rFonts w:hint="eastAsia"/>
                <w:szCs w:val="24"/>
              </w:rPr>
              <w:t>22</w:t>
            </w:r>
            <w:r>
              <w:rPr>
                <w:szCs w:val="24"/>
              </w:rPr>
              <w:t>)</w:t>
            </w:r>
          </w:p>
          <w:p>
            <w:pPr>
              <w:pStyle w:val="24"/>
              <w:rPr>
                <w:szCs w:val="24"/>
              </w:rPr>
            </w:pPr>
            <w:r>
              <w:rPr>
                <w:szCs w:val="24"/>
              </w:rPr>
              <w:t>9.《关于印发建设项目竣工环境保护验收现场检查及审查要点的通知》（环办[2015]113号）</w:t>
            </w:r>
          </w:p>
          <w:p>
            <w:pPr>
              <w:pStyle w:val="24"/>
              <w:rPr>
                <w:szCs w:val="24"/>
              </w:rPr>
            </w:pPr>
            <w:r>
              <w:rPr>
                <w:szCs w:val="24"/>
              </w:rPr>
              <w:t>10.</w:t>
            </w:r>
            <w:r>
              <w:rPr>
                <w:rFonts w:hint="eastAsia"/>
                <w:szCs w:val="24"/>
              </w:rPr>
              <w:t>关于印发《污染影响类建设项目重大变动清单（试行）》的通知（生态环境部办公厅，环办环评函〔2020〕688号）</w:t>
            </w:r>
          </w:p>
          <w:p>
            <w:pPr>
              <w:pStyle w:val="24"/>
              <w:rPr>
                <w:szCs w:val="24"/>
                <w:highlight w:val="yellow"/>
              </w:rPr>
            </w:pPr>
            <w:r>
              <w:rPr>
                <w:szCs w:val="24"/>
              </w:rPr>
              <w:t>1</w:t>
            </w:r>
            <w:r>
              <w:rPr>
                <w:rFonts w:hint="eastAsia"/>
                <w:szCs w:val="24"/>
              </w:rPr>
              <w:t>1</w:t>
            </w:r>
            <w:r>
              <w:rPr>
                <w:szCs w:val="24"/>
              </w:rPr>
              <w:t>.《</w:t>
            </w:r>
            <w:r>
              <w:rPr>
                <w:rFonts w:hint="eastAsia"/>
                <w:color w:val="auto"/>
                <w:sz w:val="24"/>
                <w:szCs w:val="24"/>
              </w:rPr>
              <w:t>新乡市公共交通总公司新一中公交油气站项目</w:t>
            </w:r>
            <w:r>
              <w:rPr>
                <w:rFonts w:hint="eastAsia"/>
                <w:szCs w:val="24"/>
              </w:rPr>
              <w:t>环境影响报告表</w:t>
            </w:r>
            <w:r>
              <w:rPr>
                <w:szCs w:val="24"/>
              </w:rPr>
              <w:t>》，</w:t>
            </w:r>
            <w:r>
              <w:rPr>
                <w:rFonts w:hint="eastAsia"/>
                <w:szCs w:val="24"/>
              </w:rPr>
              <w:t>济源蓝天科技有限责任公司</w:t>
            </w:r>
            <w:r>
              <w:rPr>
                <w:szCs w:val="24"/>
              </w:rPr>
              <w:t>，201</w:t>
            </w:r>
            <w:r>
              <w:rPr>
                <w:rFonts w:hint="eastAsia"/>
                <w:szCs w:val="24"/>
              </w:rPr>
              <w:t>7</w:t>
            </w:r>
            <w:r>
              <w:rPr>
                <w:szCs w:val="24"/>
              </w:rPr>
              <w:t>.</w:t>
            </w:r>
            <w:r>
              <w:rPr>
                <w:rFonts w:hint="eastAsia"/>
                <w:szCs w:val="24"/>
              </w:rPr>
              <w:t>11</w:t>
            </w:r>
          </w:p>
          <w:p>
            <w:pPr>
              <w:pStyle w:val="24"/>
              <w:rPr>
                <w:szCs w:val="24"/>
                <w:highlight w:val="yellow"/>
              </w:rPr>
            </w:pPr>
            <w:r>
              <w:rPr>
                <w:szCs w:val="24"/>
              </w:rPr>
              <w:t>1</w:t>
            </w:r>
            <w:r>
              <w:rPr>
                <w:rFonts w:hint="eastAsia"/>
                <w:szCs w:val="24"/>
              </w:rPr>
              <w:t>2</w:t>
            </w:r>
            <w:r>
              <w:rPr>
                <w:szCs w:val="24"/>
              </w:rPr>
              <w:t>.</w:t>
            </w:r>
            <w:r>
              <w:rPr>
                <w:rFonts w:hint="eastAsia"/>
                <w:szCs w:val="24"/>
              </w:rPr>
              <w:t>《</w:t>
            </w:r>
            <w:r>
              <w:rPr>
                <w:rFonts w:hint="eastAsia"/>
                <w:color w:val="auto"/>
                <w:sz w:val="24"/>
                <w:szCs w:val="24"/>
              </w:rPr>
              <w:t>新乡市公共交通总公司新一中公交油气站项目</w:t>
            </w:r>
            <w:r>
              <w:rPr>
                <w:rFonts w:hint="eastAsia"/>
                <w:szCs w:val="24"/>
              </w:rPr>
              <w:t>环境影响报告表》的批复（新高综监字（2018）0</w:t>
            </w:r>
            <w:r>
              <w:rPr>
                <w:rFonts w:hint="eastAsia"/>
                <w:szCs w:val="24"/>
                <w:lang w:val="en-US" w:eastAsia="zh-CN"/>
              </w:rPr>
              <w:t>1</w:t>
            </w:r>
            <w:r>
              <w:rPr>
                <w:rFonts w:hint="eastAsia"/>
                <w:szCs w:val="24"/>
              </w:rPr>
              <w:t>号），</w:t>
            </w:r>
            <w:r>
              <w:rPr>
                <w:rFonts w:hint="eastAsia" w:ascii="宋体" w:hAnsi="宋体"/>
                <w:color w:val="000000"/>
                <w:szCs w:val="24"/>
              </w:rPr>
              <w:t>新乡高新技术产业开发区管理委员会综合监管和执法局</w:t>
            </w:r>
            <w:r>
              <w:rPr>
                <w:rFonts w:hint="eastAsia"/>
                <w:szCs w:val="24"/>
              </w:rPr>
              <w:t>，2018.1.31；</w:t>
            </w:r>
          </w:p>
          <w:p>
            <w:pPr>
              <w:pStyle w:val="24"/>
              <w:rPr>
                <w:rFonts w:hint="eastAsia" w:eastAsia="宋体"/>
                <w:szCs w:val="24"/>
                <w:lang w:eastAsia="zh-CN"/>
              </w:rPr>
            </w:pPr>
            <w:r>
              <w:rPr>
                <w:rFonts w:hint="eastAsia"/>
                <w:szCs w:val="24"/>
              </w:rPr>
              <w:t>13.《</w:t>
            </w:r>
            <w:r>
              <w:rPr>
                <w:rFonts w:hint="eastAsia"/>
                <w:color w:val="auto"/>
                <w:sz w:val="24"/>
                <w:szCs w:val="24"/>
              </w:rPr>
              <w:t>新乡市公共交通总公司新一中公交油气站项目</w:t>
            </w:r>
            <w:r>
              <w:rPr>
                <w:rFonts w:hint="eastAsia"/>
                <w:szCs w:val="24"/>
              </w:rPr>
              <w:t>环境影响报告表》检测报告，</w:t>
            </w:r>
            <w:r>
              <w:rPr>
                <w:szCs w:val="24"/>
              </w:rPr>
              <w:t>河南永飞检测科技有限公司</w:t>
            </w:r>
            <w:r>
              <w:rPr>
                <w:rFonts w:hint="eastAsia"/>
                <w:szCs w:val="24"/>
              </w:rPr>
              <w:t>，2022.</w:t>
            </w:r>
            <w:r>
              <w:rPr>
                <w:rFonts w:hint="eastAsia"/>
                <w:szCs w:val="24"/>
                <w:lang w:val="en-US" w:eastAsia="zh-CN"/>
              </w:rPr>
              <w:t>8</w:t>
            </w:r>
            <w:r>
              <w:rPr>
                <w:rFonts w:hint="eastAsia"/>
                <w:szCs w:val="24"/>
              </w:rPr>
              <w:t>.</w:t>
            </w:r>
            <w:r>
              <w:rPr>
                <w:rFonts w:hint="eastAsia"/>
                <w:szCs w:val="24"/>
                <w:lang w:val="en-US" w:eastAsia="zh-CN"/>
              </w:rPr>
              <w:t>12</w:t>
            </w:r>
            <w:r>
              <w:rPr>
                <w:rFonts w:hint="eastAsia"/>
                <w:szCs w:val="24"/>
              </w:rPr>
              <w:t>，YFJC-WT22F0704</w:t>
            </w:r>
            <w:r>
              <w:rPr>
                <w:rFonts w:hint="eastAsia"/>
                <w:szCs w:val="24"/>
                <w:lang w:val="en-US" w:eastAsia="zh-CN"/>
              </w:rPr>
              <w:t>9</w:t>
            </w:r>
          </w:p>
          <w:p>
            <w:pPr>
              <w:pStyle w:val="24"/>
              <w:rPr>
                <w:szCs w:val="24"/>
              </w:rPr>
            </w:pPr>
            <w:r>
              <w:rPr>
                <w:rFonts w:hint="eastAsia"/>
                <w:szCs w:val="24"/>
              </w:rPr>
              <w:t>14.排污单位名称：新乡市公共交通集团有限责任公司</w:t>
            </w:r>
            <w:r>
              <w:rPr>
                <w:rFonts w:hint="eastAsia"/>
                <w:szCs w:val="24"/>
                <w:lang w:eastAsia="zh-CN"/>
              </w:rPr>
              <w:t>柳青路加油</w:t>
            </w:r>
            <w:r>
              <w:rPr>
                <w:rFonts w:hint="eastAsia"/>
                <w:szCs w:val="24"/>
              </w:rPr>
              <w:t>站；固定污染源排污</w:t>
            </w:r>
            <w:r>
              <w:rPr>
                <w:rFonts w:hint="eastAsia"/>
                <w:szCs w:val="24"/>
                <w:lang w:val="en-US" w:eastAsia="zh-CN"/>
              </w:rPr>
              <w:t>许可证</w:t>
            </w:r>
            <w:r>
              <w:rPr>
                <w:rFonts w:hint="eastAsia"/>
                <w:szCs w:val="24"/>
              </w:rPr>
              <w:t>编号：91410700MA9LK9UC5E001Q；排污类型：</w:t>
            </w:r>
            <w:r>
              <w:rPr>
                <w:rFonts w:hint="eastAsia"/>
                <w:szCs w:val="24"/>
                <w:lang w:val="en-US" w:eastAsia="zh-CN"/>
              </w:rPr>
              <w:t>简化</w:t>
            </w:r>
            <w:r>
              <w:rPr>
                <w:rFonts w:hint="eastAsia"/>
                <w:szCs w:val="24"/>
              </w:rPr>
              <w:t>；</w:t>
            </w:r>
            <w:r>
              <w:rPr>
                <w:rFonts w:hint="eastAsia"/>
                <w:szCs w:val="24"/>
                <w:lang w:val="en-US" w:eastAsia="zh-CN"/>
              </w:rPr>
              <w:t>申请</w:t>
            </w:r>
            <w:r>
              <w:rPr>
                <w:rFonts w:hint="eastAsia"/>
                <w:szCs w:val="24"/>
              </w:rPr>
              <w:t>日期：</w:t>
            </w:r>
            <w:r>
              <w:rPr>
                <w:szCs w:val="24"/>
              </w:rPr>
              <w:t>202</w:t>
            </w:r>
            <w:r>
              <w:rPr>
                <w:rFonts w:hint="eastAsia"/>
                <w:szCs w:val="24"/>
              </w:rPr>
              <w:t>2</w:t>
            </w:r>
            <w:r>
              <w:rPr>
                <w:szCs w:val="24"/>
              </w:rPr>
              <w:t>.</w:t>
            </w:r>
            <w:r>
              <w:rPr>
                <w:rFonts w:hint="eastAsia"/>
                <w:szCs w:val="24"/>
                <w:lang w:val="en-US" w:eastAsia="zh-CN"/>
              </w:rPr>
              <w:t>8</w:t>
            </w:r>
            <w:r>
              <w:rPr>
                <w:szCs w:val="24"/>
              </w:rPr>
              <w:t>.</w:t>
            </w:r>
            <w:r>
              <w:rPr>
                <w:rFonts w:hint="eastAsia"/>
                <w:szCs w:val="24"/>
                <w:lang w:val="en-US" w:eastAsia="zh-CN"/>
              </w:rPr>
              <w:t>1</w:t>
            </w:r>
            <w:r>
              <w:rPr>
                <w:rFonts w:hint="eastAsia"/>
                <w:szCs w:val="24"/>
              </w:rPr>
              <w:t>；有效期：</w:t>
            </w:r>
            <w:r>
              <w:rPr>
                <w:szCs w:val="24"/>
              </w:rPr>
              <w:t>202</w:t>
            </w:r>
            <w:r>
              <w:rPr>
                <w:rFonts w:hint="eastAsia"/>
                <w:szCs w:val="24"/>
              </w:rPr>
              <w:t>2</w:t>
            </w:r>
            <w:r>
              <w:rPr>
                <w:szCs w:val="24"/>
              </w:rPr>
              <w:t>.</w:t>
            </w:r>
            <w:r>
              <w:rPr>
                <w:rFonts w:hint="eastAsia"/>
                <w:szCs w:val="24"/>
                <w:lang w:val="en-US" w:eastAsia="zh-CN"/>
              </w:rPr>
              <w:t>8</w:t>
            </w:r>
            <w:r>
              <w:rPr>
                <w:szCs w:val="24"/>
              </w:rPr>
              <w:t>.</w:t>
            </w:r>
            <w:r>
              <w:rPr>
                <w:rFonts w:hint="eastAsia"/>
                <w:szCs w:val="24"/>
                <w:lang w:val="en-US" w:eastAsia="zh-CN"/>
              </w:rPr>
              <w:t>5</w:t>
            </w:r>
            <w:r>
              <w:rPr>
                <w:szCs w:val="24"/>
              </w:rPr>
              <w:t>-202</w:t>
            </w:r>
            <w:r>
              <w:rPr>
                <w:rFonts w:hint="eastAsia"/>
                <w:szCs w:val="24"/>
              </w:rPr>
              <w:t>7</w:t>
            </w:r>
            <w:r>
              <w:rPr>
                <w:szCs w:val="24"/>
              </w:rPr>
              <w:t>.</w:t>
            </w:r>
            <w:r>
              <w:rPr>
                <w:rFonts w:hint="eastAsia"/>
                <w:szCs w:val="24"/>
                <w:lang w:val="en-US" w:eastAsia="zh-CN"/>
              </w:rPr>
              <w:t>8</w:t>
            </w:r>
            <w:r>
              <w:rPr>
                <w:szCs w:val="24"/>
              </w:rPr>
              <w:t>.</w:t>
            </w:r>
            <w:r>
              <w:rPr>
                <w:rFonts w:hint="eastAsia"/>
                <w:szCs w:val="24"/>
                <w:lang w:val="en-US" w:eastAsia="zh-CN"/>
              </w:rPr>
              <w:t>4</w:t>
            </w:r>
            <w:r>
              <w:rPr>
                <w:szCs w:val="24"/>
              </w:rPr>
              <w:t>。</w:t>
            </w:r>
          </w:p>
          <w:p>
            <w:pPr>
              <w:pStyle w:val="24"/>
              <w:rPr>
                <w:szCs w:val="24"/>
              </w:rPr>
            </w:pPr>
          </w:p>
          <w:p>
            <w:pPr>
              <w:pStyle w:val="24"/>
              <w:rPr>
                <w:szCs w:val="24"/>
              </w:rPr>
            </w:pPr>
          </w:p>
          <w:p>
            <w:pPr>
              <w:pStyle w:val="24"/>
              <w:rPr>
                <w:szCs w:val="24"/>
              </w:rPr>
            </w:pPr>
          </w:p>
          <w:p>
            <w:pPr>
              <w:pStyle w:val="24"/>
              <w:rPr>
                <w:szCs w:val="24"/>
              </w:rPr>
            </w:pPr>
          </w:p>
          <w:p>
            <w:pPr>
              <w:pStyle w:val="24"/>
              <w:rPr>
                <w:szCs w:val="24"/>
              </w:rPr>
            </w:pPr>
          </w:p>
          <w:p>
            <w:pPr>
              <w:pStyle w:val="24"/>
              <w:rPr>
                <w:szCs w:val="24"/>
              </w:rPr>
            </w:pPr>
          </w:p>
          <w:p>
            <w:pPr>
              <w:pStyle w:val="24"/>
              <w:rPr>
                <w:szCs w:val="24"/>
              </w:rPr>
            </w:pPr>
          </w:p>
          <w:p>
            <w:pPr>
              <w:pStyle w:val="24"/>
              <w:rPr>
                <w:szCs w:val="24"/>
              </w:rPr>
            </w:pPr>
          </w:p>
          <w:p>
            <w:pPr>
              <w:pStyle w:val="24"/>
              <w:rPr>
                <w:szCs w:val="24"/>
              </w:rPr>
            </w:pPr>
          </w:p>
          <w:p>
            <w:pPr>
              <w:pStyle w:val="24"/>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4" w:hRule="atLeast"/>
          <w:jc w:val="center"/>
        </w:trPr>
        <w:tc>
          <w:tcPr>
            <w:tcW w:w="1047" w:type="pct"/>
            <w:vAlign w:val="center"/>
          </w:tcPr>
          <w:p>
            <w:pPr>
              <w:pStyle w:val="28"/>
              <w:rPr>
                <w:szCs w:val="24"/>
              </w:rPr>
            </w:pPr>
            <w:r>
              <w:rPr>
                <w:szCs w:val="24"/>
              </w:rPr>
              <w:t>验收监测评价标准、标号、级别、限值</w:t>
            </w:r>
          </w:p>
        </w:tc>
        <w:tc>
          <w:tcPr>
            <w:tcW w:w="3952" w:type="pct"/>
            <w:gridSpan w:val="5"/>
            <w:vAlign w:val="top"/>
          </w:tcPr>
          <w:p>
            <w:pPr>
              <w:pStyle w:val="24"/>
              <w:rPr>
                <w:b/>
                <w:szCs w:val="24"/>
              </w:rPr>
            </w:pPr>
            <w:r>
              <w:rPr>
                <w:b/>
                <w:szCs w:val="24"/>
              </w:rPr>
              <w:t>1、废气</w:t>
            </w:r>
          </w:p>
          <w:p>
            <w:pPr>
              <w:pStyle w:val="32"/>
              <w:ind w:firstLine="480"/>
              <w:rPr>
                <w:szCs w:val="24"/>
              </w:rPr>
            </w:pPr>
            <w:r>
              <w:rPr>
                <w:szCs w:val="24"/>
              </w:rPr>
              <w:t>表1</w:t>
            </w:r>
            <w:r>
              <w:rPr>
                <w:rFonts w:hint="eastAsia"/>
                <w:szCs w:val="24"/>
              </w:rPr>
              <w:t xml:space="preserve">                 </w:t>
            </w:r>
            <w:r>
              <w:rPr>
                <w:szCs w:val="24"/>
              </w:rPr>
              <w:t>废气排放标准</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909"/>
              <w:gridCol w:w="417"/>
              <w:gridCol w:w="1100"/>
              <w:gridCol w:w="10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05" w:type="dxa"/>
                  <w:tcBorders>
                    <w:top w:val="single" w:color="auto" w:sz="8" w:space="0"/>
                    <w:left w:val="nil"/>
                    <w:bottom w:val="single" w:color="auto" w:sz="4" w:space="0"/>
                    <w:right w:val="single" w:color="auto" w:sz="4" w:space="0"/>
                  </w:tcBorders>
                  <w:vAlign w:val="center"/>
                </w:tcPr>
                <w:p>
                  <w:pPr>
                    <w:pStyle w:val="35"/>
                    <w:rPr>
                      <w:b/>
                      <w:bCs/>
                      <w:sz w:val="21"/>
                    </w:rPr>
                  </w:pPr>
                  <w:r>
                    <w:rPr>
                      <w:b/>
                      <w:bCs/>
                      <w:sz w:val="21"/>
                    </w:rPr>
                    <w:t>标准名称及级(类)别</w:t>
                  </w:r>
                </w:p>
              </w:tc>
              <w:tc>
                <w:tcPr>
                  <w:tcW w:w="2426" w:type="dxa"/>
                  <w:gridSpan w:val="3"/>
                  <w:tcBorders>
                    <w:top w:val="single" w:color="auto" w:sz="8" w:space="0"/>
                    <w:left w:val="single" w:color="auto" w:sz="4" w:space="0"/>
                    <w:bottom w:val="single" w:color="auto" w:sz="4" w:space="0"/>
                    <w:right w:val="single" w:color="auto" w:sz="4" w:space="0"/>
                  </w:tcBorders>
                  <w:vAlign w:val="center"/>
                </w:tcPr>
                <w:p>
                  <w:pPr>
                    <w:pStyle w:val="35"/>
                    <w:rPr>
                      <w:b/>
                      <w:bCs/>
                      <w:sz w:val="21"/>
                    </w:rPr>
                  </w:pPr>
                  <w:r>
                    <w:rPr>
                      <w:b/>
                      <w:bCs/>
                      <w:sz w:val="21"/>
                    </w:rPr>
                    <w:t>污染因子</w:t>
                  </w:r>
                </w:p>
              </w:tc>
              <w:tc>
                <w:tcPr>
                  <w:tcW w:w="1089" w:type="dxa"/>
                  <w:tcBorders>
                    <w:top w:val="single" w:color="auto" w:sz="8" w:space="0"/>
                    <w:left w:val="single" w:color="auto" w:sz="4" w:space="0"/>
                    <w:bottom w:val="single" w:color="auto" w:sz="4" w:space="0"/>
                    <w:right w:val="nil"/>
                  </w:tcBorders>
                  <w:vAlign w:val="center"/>
                </w:tcPr>
                <w:p>
                  <w:pPr>
                    <w:pStyle w:val="35"/>
                    <w:rPr>
                      <w:b/>
                      <w:bCs/>
                      <w:sz w:val="21"/>
                    </w:rPr>
                  </w:pPr>
                  <w:r>
                    <w:rPr>
                      <w:b/>
                      <w:bCs/>
                      <w:sz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3005" w:type="dxa"/>
                  <w:tcBorders>
                    <w:top w:val="single" w:color="auto" w:sz="4" w:space="0"/>
                    <w:left w:val="nil"/>
                    <w:bottom w:val="single" w:color="auto" w:sz="4" w:space="0"/>
                    <w:right w:val="single" w:color="auto" w:sz="4" w:space="0"/>
                  </w:tcBorders>
                  <w:vAlign w:val="center"/>
                </w:tcPr>
                <w:p>
                  <w:pPr>
                    <w:pStyle w:val="35"/>
                    <w:spacing w:line="240" w:lineRule="auto"/>
                    <w:rPr>
                      <w:sz w:val="21"/>
                    </w:rPr>
                  </w:pPr>
                  <w:r>
                    <w:rPr>
                      <w:rFonts w:hint="eastAsia"/>
                      <w:sz w:val="21"/>
                    </w:rPr>
                    <w:t>《大气污染物综合排放标准》（GB16297-1996）二级</w:t>
                  </w:r>
                </w:p>
              </w:tc>
              <w:tc>
                <w:tcPr>
                  <w:tcW w:w="1326" w:type="dxa"/>
                  <w:gridSpan w:val="2"/>
                  <w:tcBorders>
                    <w:top w:val="single" w:color="auto" w:sz="4" w:space="0"/>
                    <w:left w:val="single" w:color="auto" w:sz="4" w:space="0"/>
                    <w:right w:val="single" w:color="auto" w:sz="4" w:space="0"/>
                  </w:tcBorders>
                  <w:vAlign w:val="center"/>
                </w:tcPr>
                <w:p>
                  <w:pPr>
                    <w:pStyle w:val="35"/>
                    <w:spacing w:line="240" w:lineRule="auto"/>
                    <w:rPr>
                      <w:sz w:val="21"/>
                    </w:rPr>
                  </w:pPr>
                  <w:r>
                    <w:rPr>
                      <w:rFonts w:hint="eastAsia"/>
                      <w:sz w:val="21"/>
                    </w:rPr>
                    <w:t>非甲烷总烃</w:t>
                  </w:r>
                </w:p>
              </w:tc>
              <w:tc>
                <w:tcPr>
                  <w:tcW w:w="110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rPr>
                      <w:sz w:val="21"/>
                    </w:rPr>
                  </w:pPr>
                  <w:r>
                    <w:rPr>
                      <w:rFonts w:hint="eastAsia"/>
                      <w:sz w:val="21"/>
                    </w:rPr>
                    <w:t>无组织</w:t>
                  </w:r>
                </w:p>
              </w:tc>
              <w:tc>
                <w:tcPr>
                  <w:tcW w:w="1089" w:type="dxa"/>
                  <w:tcBorders>
                    <w:top w:val="single" w:color="auto" w:sz="4" w:space="0"/>
                    <w:left w:val="single" w:color="auto" w:sz="4" w:space="0"/>
                    <w:bottom w:val="single" w:color="auto" w:sz="4" w:space="0"/>
                    <w:right w:val="nil"/>
                  </w:tcBorders>
                  <w:vAlign w:val="center"/>
                </w:tcPr>
                <w:p>
                  <w:pPr>
                    <w:pStyle w:val="35"/>
                    <w:spacing w:line="240" w:lineRule="auto"/>
                    <w:rPr>
                      <w:sz w:val="21"/>
                    </w:rPr>
                  </w:pPr>
                  <w:r>
                    <w:rPr>
                      <w:rFonts w:hint="eastAsia"/>
                      <w:color w:val="auto"/>
                      <w:sz w:val="21"/>
                    </w:rPr>
                    <w:t>4.0</w:t>
                  </w:r>
                  <w:r>
                    <w:rPr>
                      <w:color w:val="auto"/>
                      <w:sz w:val="21"/>
                    </w:rPr>
                    <w:t>mg/m</w:t>
                  </w:r>
                  <w:r>
                    <w:rPr>
                      <w:color w:val="auto"/>
                      <w:sz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05" w:type="dxa"/>
                  <w:tcBorders>
                    <w:top w:val="single" w:color="auto" w:sz="4" w:space="0"/>
                    <w:left w:val="nil"/>
                    <w:bottom w:val="single" w:color="auto" w:sz="4" w:space="0"/>
                    <w:right w:val="single" w:color="auto" w:sz="4" w:space="0"/>
                  </w:tcBorders>
                  <w:vAlign w:val="center"/>
                </w:tcPr>
                <w:p>
                  <w:pPr>
                    <w:pStyle w:val="35"/>
                    <w:spacing w:line="240" w:lineRule="auto"/>
                    <w:rPr>
                      <w:sz w:val="21"/>
                    </w:rPr>
                  </w:pPr>
                  <w:r>
                    <w:rPr>
                      <w:rFonts w:hint="eastAsia"/>
                      <w:sz w:val="21"/>
                    </w:rPr>
                    <w:t>《关于全省开展工业企业挥发性有机物专项治理工作中排放建议值的通知》（豫环攻坚办（</w:t>
                  </w:r>
                  <w:r>
                    <w:rPr>
                      <w:sz w:val="21"/>
                    </w:rPr>
                    <w:t>2017</w:t>
                  </w:r>
                  <w:r>
                    <w:rPr>
                      <w:rFonts w:hint="eastAsia"/>
                      <w:sz w:val="21"/>
                    </w:rPr>
                    <w:t>）</w:t>
                  </w:r>
                  <w:r>
                    <w:rPr>
                      <w:sz w:val="21"/>
                    </w:rPr>
                    <w:t>162</w:t>
                  </w:r>
                  <w:r>
                    <w:rPr>
                      <w:rFonts w:hint="eastAsia"/>
                      <w:sz w:val="21"/>
                    </w:rPr>
                    <w:t>号）</w:t>
                  </w:r>
                </w:p>
              </w:tc>
              <w:tc>
                <w:tcPr>
                  <w:tcW w:w="2426" w:type="dxa"/>
                  <w:gridSpan w:val="3"/>
                  <w:tcBorders>
                    <w:top w:val="single" w:color="auto" w:sz="4" w:space="0"/>
                    <w:left w:val="single" w:color="auto" w:sz="4" w:space="0"/>
                    <w:bottom w:val="single" w:color="auto" w:sz="4" w:space="0"/>
                    <w:right w:val="single" w:color="auto" w:sz="4" w:space="0"/>
                  </w:tcBorders>
                  <w:vAlign w:val="center"/>
                </w:tcPr>
                <w:p>
                  <w:pPr>
                    <w:pStyle w:val="35"/>
                    <w:spacing w:line="240" w:lineRule="auto"/>
                    <w:rPr>
                      <w:sz w:val="21"/>
                    </w:rPr>
                  </w:pPr>
                  <w:r>
                    <w:rPr>
                      <w:rFonts w:hint="eastAsia"/>
                      <w:sz w:val="21"/>
                    </w:rPr>
                    <w:t>非甲烷总烃(工业企业边界挥发性有机物排放建议值）</w:t>
                  </w:r>
                </w:p>
              </w:tc>
              <w:tc>
                <w:tcPr>
                  <w:tcW w:w="1089" w:type="dxa"/>
                  <w:tcBorders>
                    <w:top w:val="single" w:color="auto" w:sz="4" w:space="0"/>
                    <w:left w:val="single" w:color="auto" w:sz="4" w:space="0"/>
                    <w:bottom w:val="single" w:color="auto" w:sz="4" w:space="0"/>
                    <w:right w:val="nil"/>
                  </w:tcBorders>
                  <w:vAlign w:val="center"/>
                </w:tcPr>
                <w:p>
                  <w:pPr>
                    <w:pStyle w:val="35"/>
                    <w:spacing w:line="240" w:lineRule="auto"/>
                    <w:rPr>
                      <w:sz w:val="21"/>
                    </w:rPr>
                  </w:pPr>
                  <w:r>
                    <w:rPr>
                      <w:rFonts w:hint="eastAsia"/>
                      <w:sz w:val="21"/>
                    </w:rPr>
                    <w:t>2.</w:t>
                  </w:r>
                  <w:r>
                    <w:rPr>
                      <w:sz w:val="21"/>
                    </w:rPr>
                    <w:t>0mg/m³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777" w:hRule="atLeast"/>
                <w:jc w:val="center"/>
              </w:trPr>
              <w:tc>
                <w:tcPr>
                  <w:tcW w:w="3005" w:type="dxa"/>
                  <w:tcBorders>
                    <w:top w:val="single" w:color="auto" w:sz="4" w:space="0"/>
                    <w:left w:val="nil"/>
                    <w:bottom w:val="single" w:color="auto" w:sz="8" w:space="0"/>
                    <w:right w:val="single" w:color="auto" w:sz="4" w:space="0"/>
                  </w:tcBorders>
                  <w:vAlign w:val="center"/>
                </w:tcPr>
                <w:p>
                  <w:pPr>
                    <w:pStyle w:val="35"/>
                    <w:spacing w:line="240" w:lineRule="auto"/>
                    <w:rPr>
                      <w:sz w:val="21"/>
                    </w:rPr>
                  </w:pPr>
                  <w:r>
                    <w:rPr>
                      <w:rFonts w:hint="eastAsia"/>
                      <w:sz w:val="21"/>
                    </w:rPr>
                    <w:t>《加油站大气污染物排放标准》(GB20952-2007)</w:t>
                  </w:r>
                </w:p>
              </w:tc>
              <w:tc>
                <w:tcPr>
                  <w:tcW w:w="909" w:type="dxa"/>
                  <w:tcBorders>
                    <w:top w:val="single" w:color="auto" w:sz="4" w:space="0"/>
                    <w:left w:val="single" w:color="auto" w:sz="4" w:space="0"/>
                    <w:bottom w:val="single" w:color="auto" w:sz="8" w:space="0"/>
                    <w:right w:val="single" w:color="auto" w:sz="4" w:space="0"/>
                  </w:tcBorders>
                  <w:vAlign w:val="center"/>
                </w:tcPr>
                <w:p>
                  <w:pPr>
                    <w:pStyle w:val="35"/>
                    <w:spacing w:line="240" w:lineRule="auto"/>
                    <w:rPr>
                      <w:sz w:val="21"/>
                    </w:rPr>
                  </w:pPr>
                  <w:r>
                    <w:rPr>
                      <w:rFonts w:hint="eastAsia"/>
                      <w:sz w:val="21"/>
                    </w:rPr>
                    <w:t>非甲烷总烃</w:t>
                  </w:r>
                </w:p>
              </w:tc>
              <w:tc>
                <w:tcPr>
                  <w:tcW w:w="1517" w:type="dxa"/>
                  <w:gridSpan w:val="2"/>
                  <w:tcBorders>
                    <w:top w:val="single" w:color="auto" w:sz="4" w:space="0"/>
                    <w:left w:val="single" w:color="auto" w:sz="4" w:space="0"/>
                    <w:bottom w:val="single" w:color="auto" w:sz="8" w:space="0"/>
                    <w:right w:val="single" w:color="auto" w:sz="4" w:space="0"/>
                  </w:tcBorders>
                  <w:vAlign w:val="center"/>
                </w:tcPr>
                <w:p>
                  <w:pPr>
                    <w:pStyle w:val="35"/>
                    <w:spacing w:line="240" w:lineRule="auto"/>
                    <w:rPr>
                      <w:sz w:val="21"/>
                    </w:rPr>
                  </w:pPr>
                  <w:r>
                    <w:rPr>
                      <w:rFonts w:hint="eastAsia"/>
                      <w:sz w:val="21"/>
                    </w:rPr>
                    <w:t>企业边界油气浓度无组织</w:t>
                  </w:r>
                </w:p>
              </w:tc>
              <w:tc>
                <w:tcPr>
                  <w:tcW w:w="1089" w:type="dxa"/>
                  <w:tcBorders>
                    <w:top w:val="single" w:color="auto" w:sz="4" w:space="0"/>
                    <w:left w:val="single" w:color="auto" w:sz="4" w:space="0"/>
                    <w:bottom w:val="single" w:color="auto" w:sz="8" w:space="0"/>
                    <w:right w:val="nil"/>
                  </w:tcBorders>
                  <w:vAlign w:val="center"/>
                </w:tcPr>
                <w:p>
                  <w:pPr>
                    <w:pStyle w:val="35"/>
                    <w:spacing w:line="240" w:lineRule="auto"/>
                    <w:rPr>
                      <w:sz w:val="21"/>
                    </w:rPr>
                  </w:pPr>
                  <w:r>
                    <w:rPr>
                      <w:rFonts w:hint="eastAsia"/>
                      <w:color w:val="auto"/>
                      <w:sz w:val="21"/>
                      <w:lang w:val="en-US" w:eastAsia="zh-CN"/>
                    </w:rPr>
                    <w:t>25</w:t>
                  </w:r>
                  <w:r>
                    <w:rPr>
                      <w:color w:val="auto"/>
                      <w:sz w:val="21"/>
                    </w:rPr>
                    <w:t>g/m</w:t>
                  </w:r>
                  <w:r>
                    <w:rPr>
                      <w:color w:val="auto"/>
                      <w:sz w:val="21"/>
                      <w:vertAlign w:val="superscript"/>
                    </w:rPr>
                    <w:t>3</w:t>
                  </w:r>
                </w:p>
              </w:tc>
            </w:tr>
          </w:tbl>
          <w:p>
            <w:pPr>
              <w:pStyle w:val="24"/>
              <w:rPr>
                <w:b/>
                <w:szCs w:val="24"/>
              </w:rPr>
            </w:pPr>
            <w:r>
              <w:rPr>
                <w:rFonts w:hint="eastAsia"/>
                <w:b/>
                <w:szCs w:val="24"/>
              </w:rPr>
              <w:t>2、</w:t>
            </w:r>
            <w:r>
              <w:rPr>
                <w:b/>
                <w:szCs w:val="24"/>
              </w:rPr>
              <w:t>噪声</w:t>
            </w:r>
          </w:p>
          <w:p>
            <w:pPr>
              <w:pStyle w:val="25"/>
              <w:ind w:firstLine="480"/>
              <w:rPr>
                <w:szCs w:val="24"/>
              </w:rPr>
            </w:pPr>
            <w:r>
              <w:rPr>
                <w:szCs w:val="24"/>
              </w:rPr>
              <w:t>营运期厂界噪声执行《工业企业厂界环境噪声排放标准》（GB12348-2008）</w:t>
            </w:r>
            <w:r>
              <w:rPr>
                <w:rFonts w:hint="eastAsia"/>
                <w:szCs w:val="24"/>
                <w:lang w:val="en-US" w:eastAsia="zh-CN"/>
              </w:rPr>
              <w:t>1</w:t>
            </w:r>
            <w:r>
              <w:rPr>
                <w:szCs w:val="24"/>
              </w:rPr>
              <w:t>类标准</w:t>
            </w:r>
            <w:r>
              <w:rPr>
                <w:rFonts w:hint="eastAsia"/>
                <w:szCs w:val="24"/>
              </w:rPr>
              <w:t>，</w:t>
            </w:r>
            <w:r>
              <w:rPr>
                <w:szCs w:val="24"/>
              </w:rPr>
              <w:t>具体标准值见</w:t>
            </w:r>
            <w:r>
              <w:rPr>
                <w:rFonts w:hint="eastAsia"/>
                <w:szCs w:val="24"/>
              </w:rPr>
              <w:t>下</w:t>
            </w:r>
            <w:r>
              <w:rPr>
                <w:szCs w:val="24"/>
              </w:rPr>
              <w:t>表。</w:t>
            </w:r>
          </w:p>
          <w:p>
            <w:pPr>
              <w:pStyle w:val="32"/>
              <w:ind w:firstLine="480"/>
              <w:rPr>
                <w:szCs w:val="24"/>
              </w:rPr>
            </w:pPr>
            <w:r>
              <w:rPr>
                <w:szCs w:val="24"/>
              </w:rPr>
              <w:t>表</w:t>
            </w:r>
            <w:r>
              <w:rPr>
                <w:rFonts w:hint="eastAsia"/>
                <w:szCs w:val="24"/>
              </w:rPr>
              <w:t xml:space="preserve">2     </w:t>
            </w:r>
            <w:r>
              <w:rPr>
                <w:szCs w:val="24"/>
              </w:rPr>
              <w:t>工业企业厂界环境噪声排放标准</w:t>
            </w:r>
            <w:r>
              <w:rPr>
                <w:rFonts w:hint="eastAsia"/>
                <w:szCs w:val="24"/>
              </w:rPr>
              <w:t xml:space="preserve">   </w:t>
            </w:r>
            <w:r>
              <w:rPr>
                <w:szCs w:val="24"/>
              </w:rPr>
              <w:t>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32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3489" w:type="dxa"/>
                  <w:tcBorders>
                    <w:top w:val="single" w:color="auto" w:sz="8" w:space="0"/>
                    <w:left w:val="nil"/>
                    <w:bottom w:val="single" w:color="auto" w:sz="4" w:space="0"/>
                    <w:right w:val="single" w:color="auto" w:sz="4" w:space="0"/>
                  </w:tcBorders>
                  <w:vAlign w:val="center"/>
                </w:tcPr>
                <w:p>
                  <w:pPr>
                    <w:pStyle w:val="35"/>
                    <w:rPr>
                      <w:b/>
                      <w:bCs/>
                      <w:szCs w:val="24"/>
                    </w:rPr>
                  </w:pPr>
                  <w:r>
                    <w:rPr>
                      <w:b/>
                      <w:bCs/>
                      <w:szCs w:val="24"/>
                    </w:rPr>
                    <w:t>类别</w:t>
                  </w:r>
                </w:p>
              </w:tc>
              <w:tc>
                <w:tcPr>
                  <w:tcW w:w="3492" w:type="dxa"/>
                  <w:tcBorders>
                    <w:top w:val="single" w:color="auto" w:sz="8" w:space="0"/>
                    <w:left w:val="single" w:color="auto" w:sz="4" w:space="0"/>
                    <w:bottom w:val="single" w:color="auto" w:sz="4" w:space="0"/>
                    <w:right w:val="nil"/>
                  </w:tcBorders>
                  <w:vAlign w:val="center"/>
                </w:tcPr>
                <w:p>
                  <w:pPr>
                    <w:pStyle w:val="35"/>
                    <w:rPr>
                      <w:b/>
                      <w:bCs/>
                      <w:szCs w:val="24"/>
                    </w:rPr>
                  </w:pPr>
                  <w:r>
                    <w:rPr>
                      <w:b/>
                      <w:bCs/>
                      <w:szCs w:val="24"/>
                    </w:rPr>
                    <w:t>昼间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9" w:type="dxa"/>
                  <w:tcBorders>
                    <w:top w:val="single" w:color="auto" w:sz="4" w:space="0"/>
                    <w:left w:val="nil"/>
                    <w:bottom w:val="single" w:color="auto" w:sz="8" w:space="0"/>
                    <w:right w:val="single" w:color="auto" w:sz="4" w:space="0"/>
                  </w:tcBorders>
                  <w:vAlign w:val="center"/>
                </w:tcPr>
                <w:p>
                  <w:pPr>
                    <w:pStyle w:val="35"/>
                    <w:rPr>
                      <w:szCs w:val="24"/>
                    </w:rPr>
                  </w:pPr>
                  <w:r>
                    <w:rPr>
                      <w:rFonts w:hint="eastAsia"/>
                      <w:szCs w:val="24"/>
                      <w:lang w:val="en-US" w:eastAsia="zh-CN"/>
                    </w:rPr>
                    <w:t>1</w:t>
                  </w:r>
                  <w:r>
                    <w:rPr>
                      <w:szCs w:val="24"/>
                    </w:rPr>
                    <w:t>类</w:t>
                  </w:r>
                </w:p>
              </w:tc>
              <w:tc>
                <w:tcPr>
                  <w:tcW w:w="3492" w:type="dxa"/>
                  <w:tcBorders>
                    <w:top w:val="single" w:color="auto" w:sz="4" w:space="0"/>
                    <w:left w:val="single" w:color="auto" w:sz="4" w:space="0"/>
                    <w:bottom w:val="single" w:color="auto" w:sz="8" w:space="0"/>
                    <w:right w:val="nil"/>
                  </w:tcBorders>
                  <w:vAlign w:val="center"/>
                </w:tcPr>
                <w:p>
                  <w:pPr>
                    <w:pStyle w:val="35"/>
                    <w:rPr>
                      <w:szCs w:val="24"/>
                    </w:rPr>
                  </w:pPr>
                  <w:r>
                    <w:rPr>
                      <w:rFonts w:hint="eastAsia"/>
                      <w:szCs w:val="24"/>
                      <w:lang w:val="en-US" w:eastAsia="zh-CN"/>
                    </w:rPr>
                    <w:t>5</w:t>
                  </w:r>
                  <w:r>
                    <w:rPr>
                      <w:rFonts w:hint="eastAsia"/>
                      <w:szCs w:val="24"/>
                    </w:rPr>
                    <w:t>5</w:t>
                  </w:r>
                </w:p>
              </w:tc>
            </w:tr>
          </w:tbl>
          <w:p>
            <w:pPr>
              <w:pStyle w:val="25"/>
              <w:ind w:firstLine="480"/>
              <w:rPr>
                <w:szCs w:val="24"/>
              </w:rPr>
            </w:pPr>
          </w:p>
        </w:tc>
      </w:tr>
    </w:tbl>
    <w:p>
      <w:pPr>
        <w:pStyle w:val="32"/>
        <w:ind w:firstLine="480"/>
        <w:sectPr>
          <w:footerReference r:id="rId5" w:type="default"/>
          <w:pgSz w:w="11906" w:h="16838"/>
          <w:pgMar w:top="1440" w:right="1800" w:bottom="1440" w:left="1800" w:header="708" w:footer="708" w:gutter="0"/>
          <w:pgNumType w:fmt="decimal" w:start="1"/>
          <w:cols w:space="720" w:num="1"/>
          <w:docGrid w:type="lines" w:linePitch="360" w:charSpace="0"/>
        </w:sectPr>
      </w:pPr>
    </w:p>
    <w:p>
      <w:pPr>
        <w:spacing w:line="440" w:lineRule="exact"/>
        <w:rPr>
          <w:rFonts w:eastAsia="仿宋_GB2312"/>
          <w:b/>
          <w:szCs w:val="24"/>
        </w:rPr>
      </w:pPr>
      <w:r>
        <w:rPr>
          <w:rFonts w:hint="eastAsia" w:eastAsia="仿宋_GB2312"/>
          <w:b/>
          <w:szCs w:val="24"/>
        </w:rPr>
        <w:t>表二</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22" w:type="dxa"/>
            <w:tcBorders>
              <w:tl2br w:val="nil"/>
              <w:tr2bl w:val="nil"/>
            </w:tcBorders>
          </w:tcPr>
          <w:p>
            <w:pPr>
              <w:spacing w:line="520" w:lineRule="exact"/>
              <w:rPr>
                <w:color w:val="000000"/>
                <w:szCs w:val="24"/>
              </w:rPr>
            </w:pPr>
            <w:r>
              <w:rPr>
                <w:color w:val="000000"/>
                <w:szCs w:val="24"/>
              </w:rPr>
              <w:t>1、</w:t>
            </w:r>
            <w:r>
              <w:rPr>
                <w:bCs/>
                <w:color w:val="000000"/>
                <w:szCs w:val="24"/>
              </w:rPr>
              <w:t>地理位置</w:t>
            </w:r>
          </w:p>
          <w:p>
            <w:pPr>
              <w:pStyle w:val="25"/>
              <w:ind w:firstLine="480"/>
              <w:rPr>
                <w:szCs w:val="24"/>
              </w:rPr>
            </w:pPr>
            <w:r>
              <w:rPr>
                <w:rFonts w:hint="eastAsia"/>
                <w:color w:val="auto"/>
                <w:sz w:val="24"/>
                <w:szCs w:val="24"/>
              </w:rPr>
              <w:t>本</w:t>
            </w:r>
            <w:r>
              <w:rPr>
                <w:color w:val="auto"/>
                <w:sz w:val="24"/>
                <w:szCs w:val="24"/>
              </w:rPr>
              <w:t>项目位于</w:t>
            </w:r>
            <w:r>
              <w:rPr>
                <w:rFonts w:hint="eastAsia"/>
                <w:color w:val="auto"/>
                <w:sz w:val="24"/>
                <w:szCs w:val="24"/>
              </w:rPr>
              <w:t>柳青路与新二街东南角公交场站内。本项目东、南方为农田，西边为公交站场，北边为柳青路。距离本项目最近的环境敏感点为西南330m处的世外桃园小区。</w:t>
            </w:r>
            <w:r>
              <w:rPr>
                <w:rFonts w:hint="eastAsia"/>
                <w:szCs w:val="24"/>
              </w:rPr>
              <w:t>本</w:t>
            </w:r>
            <w:r>
              <w:rPr>
                <w:szCs w:val="24"/>
              </w:rPr>
              <w:t>项目</w:t>
            </w:r>
            <w:r>
              <w:rPr>
                <w:rFonts w:hint="eastAsia"/>
                <w:szCs w:val="24"/>
              </w:rPr>
              <w:t>地理位置</w:t>
            </w:r>
            <w:r>
              <w:rPr>
                <w:szCs w:val="24"/>
              </w:rPr>
              <w:t>如图</w:t>
            </w:r>
            <w:r>
              <w:rPr>
                <w:rFonts w:hint="eastAsia"/>
                <w:szCs w:val="24"/>
              </w:rPr>
              <w:t>1</w:t>
            </w:r>
            <w:r>
              <w:rPr>
                <w:szCs w:val="24"/>
              </w:rPr>
              <w:t>所示。根据实际勘查，项目实际建设地点以及周围环境敏感点位置与环评及批复内容一致。</w:t>
            </w:r>
          </w:p>
          <w:p>
            <w:pPr>
              <w:pStyle w:val="46"/>
            </w:pPr>
            <w:r>
              <mc:AlternateContent>
                <mc:Choice Requires="wps">
                  <w:drawing>
                    <wp:anchor distT="0" distB="0" distL="114300" distR="114300" simplePos="0" relativeHeight="251661312" behindDoc="0" locked="0" layoutInCell="1" allowOverlap="1">
                      <wp:simplePos x="0" y="0"/>
                      <wp:positionH relativeFrom="column">
                        <wp:posOffset>4936490</wp:posOffset>
                      </wp:positionH>
                      <wp:positionV relativeFrom="paragraph">
                        <wp:posOffset>180340</wp:posOffset>
                      </wp:positionV>
                      <wp:extent cx="278765" cy="2552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79070" cy="255319"/>
                              </a:xfrm>
                              <a:prstGeom prst="rect">
                                <a:avLst/>
                              </a:prstGeom>
                              <a:noFill/>
                              <a:ln w="6350">
                                <a:noFill/>
                              </a:ln>
                            </wps:spPr>
                            <wps:txbx>
                              <w:txbxContent>
                                <w:p>
                                  <w:pPr>
                                    <w:spacing w:line="240" w:lineRule="auto"/>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7pt;margin-top:14.2pt;height:20.1pt;width:21.95pt;z-index:251661312;mso-width-relative:page;mso-height-relative:page;" filled="f" stroked="f" coordsize="21600,21600" o:gfxdata="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ooKXPbAAAACQEAAA8AAAAAAAAAAQAgAAAAIgAAAGRy&#10;cy9kb3ducmV2LnhtbFBLAQIUABQAAAAIAIdO4kDRVGEGOwIAAGUEAAAOAAAAAAAAAAEAIAAAACoB&#10;AABkcnMvZTJvRG9jLnhtbFBLBQYAAAAABgAGAFkBAADXBQAAAAA=&#10;">
                      <v:fill on="f" focussize="0,0"/>
                      <v:stroke on="f" weight="0.5pt"/>
                      <v:imagedata o:title=""/>
                      <o:lock v:ext="edit" aspectratio="f"/>
                      <v:textbox>
                        <w:txbxContent>
                          <w:p>
                            <w:pPr>
                              <w:spacing w:line="240" w:lineRule="auto"/>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N</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4872990</wp:posOffset>
                      </wp:positionH>
                      <wp:positionV relativeFrom="paragraph">
                        <wp:posOffset>86995</wp:posOffset>
                      </wp:positionV>
                      <wp:extent cx="172085" cy="313690"/>
                      <wp:effectExtent l="19050" t="19050" r="37465" b="10795"/>
                      <wp:wrapNone/>
                      <wp:docPr id="4" name="箭头: 上 4"/>
                      <wp:cNvGraphicFramePr/>
                      <a:graphic xmlns:a="http://schemas.openxmlformats.org/drawingml/2006/main">
                        <a:graphicData uri="http://schemas.microsoft.com/office/word/2010/wordprocessingShape">
                          <wps:wsp>
                            <wps:cNvSpPr/>
                            <wps:spPr>
                              <a:xfrm>
                                <a:off x="0" y="0"/>
                                <a:ext cx="172085" cy="313459"/>
                              </a:xfrm>
                              <a:prstGeom prst="upArrow">
                                <a:avLst>
                                  <a:gd name="adj1" fmla="val 43099"/>
                                  <a:gd name="adj2" fmla="val 5000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上 4" o:spid="_x0000_s1026" o:spt="68" type="#_x0000_t68" style="position:absolute;left:0pt;margin-left:383.7pt;margin-top:6.85pt;height:24.7pt;width:13.55pt;z-index:251660288;v-text-anchor:middle;mso-width-relative:page;mso-height-relative:page;" fillcolor="#FFFFFF [3212]" filled="t" stroked="t" coordsize="21600,21600" o:gfxdata="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HLkvt2QAA&#10;AAkBAAAPAAAAAAAAAAEAIAAAACIAAABkcnMvZG93bnJldi54bWxQSwECFAAUAAAACACHTuJAGkRE&#10;UY8CAAA1BQAADgAAAAAAAAABACAAAAAoAQAAZHJzL2Uyb0RvYy54bWxQSwUGAAAAAAYABgBZAQAA&#10;KQYAAAAA&#10;" adj="5929,6145">
                      <v:fill on="t" focussize="0,0"/>
                      <v:stroke weight="1pt" color="#000000 [3213]" joinstyle="round"/>
                      <v:imagedata o:title=""/>
                      <o:lock v:ext="edit" aspectratio="f"/>
                    </v:shape>
                  </w:pict>
                </mc:Fallback>
              </mc:AlternateContent>
            </w:r>
            <w:r>
              <w:drawing>
                <wp:inline distT="0" distB="0" distL="114300" distR="114300">
                  <wp:extent cx="5267325" cy="3088005"/>
                  <wp:effectExtent l="19050" t="19050" r="28575" b="361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67325" cy="3088005"/>
                          </a:xfrm>
                          <a:prstGeom prst="rect">
                            <a:avLst/>
                          </a:prstGeom>
                          <a:noFill/>
                          <a:ln w="19050">
                            <a:solidFill>
                              <a:schemeClr val="tx1"/>
                            </a:solidFill>
                          </a:ln>
                        </pic:spPr>
                      </pic:pic>
                    </a:graphicData>
                  </a:graphic>
                </wp:inline>
              </w:drawing>
            </w:r>
            <w:r>
              <w:rPr>
                <w:rStyle w:val="47"/>
                <w:rFonts w:cs="Times New Roman"/>
                <w:szCs w:val="24"/>
              </w:rPr>
              <w:t>图1  项目周围环境及周边环境保护目标示意图</w:t>
            </w:r>
          </w:p>
          <w:p>
            <w:r>
              <w:t>2、项目建设情况</w:t>
            </w:r>
          </w:p>
          <w:p>
            <w:pPr>
              <w:pStyle w:val="32"/>
              <w:ind w:firstLine="480"/>
            </w:pPr>
            <w:r>
              <w:t>表</w:t>
            </w:r>
            <w:r>
              <w:rPr>
                <w:rFonts w:hint="eastAsia"/>
              </w:rPr>
              <w:t xml:space="preserve">3                </w:t>
            </w:r>
            <w:r>
              <w:t>项目基本概况一览表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1088"/>
              <w:gridCol w:w="2794"/>
              <w:gridCol w:w="2795"/>
              <w:gridCol w:w="105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vMerge w:val="restart"/>
                  <w:tcBorders>
                    <w:tl2br w:val="nil"/>
                    <w:tr2bl w:val="nil"/>
                  </w:tcBorders>
                  <w:vAlign w:val="center"/>
                </w:tcPr>
                <w:p>
                  <w:pPr>
                    <w:pStyle w:val="35"/>
                    <w:rPr>
                      <w:b/>
                      <w:bCs/>
                      <w:sz w:val="21"/>
                    </w:rPr>
                  </w:pPr>
                  <w:r>
                    <w:rPr>
                      <w:b/>
                      <w:bCs/>
                      <w:sz w:val="21"/>
                    </w:rPr>
                    <w:t>序号</w:t>
                  </w:r>
                </w:p>
              </w:tc>
              <w:tc>
                <w:tcPr>
                  <w:tcW w:w="1148" w:type="dxa"/>
                  <w:vMerge w:val="restart"/>
                  <w:tcBorders>
                    <w:tl2br w:val="nil"/>
                    <w:tr2bl w:val="nil"/>
                  </w:tcBorders>
                  <w:vAlign w:val="center"/>
                </w:tcPr>
                <w:p>
                  <w:pPr>
                    <w:pStyle w:val="35"/>
                    <w:rPr>
                      <w:b/>
                      <w:bCs/>
                      <w:sz w:val="21"/>
                    </w:rPr>
                  </w:pPr>
                  <w:r>
                    <w:rPr>
                      <w:b/>
                      <w:bCs/>
                      <w:sz w:val="21"/>
                    </w:rPr>
                    <w:t>项目</w:t>
                  </w:r>
                </w:p>
              </w:tc>
              <w:tc>
                <w:tcPr>
                  <w:tcW w:w="5953" w:type="dxa"/>
                  <w:gridSpan w:val="2"/>
                  <w:tcBorders>
                    <w:tl2br w:val="nil"/>
                    <w:tr2bl w:val="nil"/>
                  </w:tcBorders>
                  <w:vAlign w:val="center"/>
                </w:tcPr>
                <w:p>
                  <w:pPr>
                    <w:pStyle w:val="35"/>
                    <w:rPr>
                      <w:b/>
                      <w:bCs/>
                      <w:sz w:val="21"/>
                    </w:rPr>
                  </w:pPr>
                  <w:r>
                    <w:rPr>
                      <w:b/>
                      <w:bCs/>
                      <w:sz w:val="21"/>
                    </w:rPr>
                    <w:t>内容</w:t>
                  </w:r>
                </w:p>
              </w:tc>
              <w:tc>
                <w:tcPr>
                  <w:tcW w:w="1116" w:type="dxa"/>
                  <w:vMerge w:val="restart"/>
                  <w:tcBorders>
                    <w:tl2br w:val="nil"/>
                    <w:tr2bl w:val="nil"/>
                  </w:tcBorders>
                  <w:vAlign w:val="center"/>
                </w:tcPr>
                <w:p>
                  <w:pPr>
                    <w:pStyle w:val="35"/>
                    <w:rPr>
                      <w:b/>
                      <w:bCs/>
                      <w:sz w:val="21"/>
                    </w:rPr>
                  </w:pPr>
                  <w:r>
                    <w:rPr>
                      <w:b/>
                      <w:bCs/>
                      <w:sz w:val="21"/>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pPr>
                    <w:pStyle w:val="35"/>
                    <w:rPr>
                      <w:sz w:val="21"/>
                    </w:rPr>
                  </w:pPr>
                </w:p>
              </w:tc>
              <w:tc>
                <w:tcPr>
                  <w:tcW w:w="1148" w:type="dxa"/>
                  <w:vMerge w:val="continue"/>
                  <w:tcBorders>
                    <w:tl2br w:val="nil"/>
                    <w:tr2bl w:val="nil"/>
                  </w:tcBorders>
                  <w:vAlign w:val="center"/>
                </w:tcPr>
                <w:p>
                  <w:pPr>
                    <w:pStyle w:val="35"/>
                    <w:rPr>
                      <w:sz w:val="21"/>
                    </w:rPr>
                  </w:pPr>
                </w:p>
              </w:tc>
              <w:tc>
                <w:tcPr>
                  <w:tcW w:w="2976" w:type="dxa"/>
                  <w:tcBorders>
                    <w:tl2br w:val="nil"/>
                    <w:tr2bl w:val="nil"/>
                  </w:tcBorders>
                  <w:vAlign w:val="center"/>
                </w:tcPr>
                <w:p>
                  <w:pPr>
                    <w:pStyle w:val="35"/>
                    <w:rPr>
                      <w:sz w:val="21"/>
                    </w:rPr>
                  </w:pPr>
                  <w:r>
                    <w:rPr>
                      <w:sz w:val="21"/>
                    </w:rPr>
                    <w:t>环评批复</w:t>
                  </w:r>
                </w:p>
              </w:tc>
              <w:tc>
                <w:tcPr>
                  <w:tcW w:w="2977" w:type="dxa"/>
                  <w:tcBorders>
                    <w:tl2br w:val="nil"/>
                    <w:tr2bl w:val="nil"/>
                  </w:tcBorders>
                  <w:vAlign w:val="center"/>
                </w:tcPr>
                <w:p>
                  <w:pPr>
                    <w:pStyle w:val="35"/>
                    <w:rPr>
                      <w:sz w:val="21"/>
                    </w:rPr>
                  </w:pPr>
                  <w:r>
                    <w:rPr>
                      <w:sz w:val="21"/>
                    </w:rPr>
                    <w:t>实际建设</w:t>
                  </w:r>
                </w:p>
              </w:tc>
              <w:tc>
                <w:tcPr>
                  <w:tcW w:w="1116" w:type="dxa"/>
                  <w:vMerge w:val="continue"/>
                  <w:tcBorders>
                    <w:tl2br w:val="nil"/>
                    <w:tr2bl w:val="nil"/>
                  </w:tcBorders>
                  <w:vAlign w:val="center"/>
                </w:tcPr>
                <w:p>
                  <w:pPr>
                    <w:pStyle w:val="35"/>
                    <w:rPr>
                      <w:sz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1</w:t>
                  </w:r>
                </w:p>
              </w:tc>
              <w:tc>
                <w:tcPr>
                  <w:tcW w:w="1148" w:type="dxa"/>
                  <w:tcBorders>
                    <w:tl2br w:val="nil"/>
                    <w:tr2bl w:val="nil"/>
                  </w:tcBorders>
                  <w:vAlign w:val="center"/>
                </w:tcPr>
                <w:p>
                  <w:pPr>
                    <w:pStyle w:val="35"/>
                    <w:rPr>
                      <w:sz w:val="21"/>
                    </w:rPr>
                  </w:pPr>
                  <w:r>
                    <w:rPr>
                      <w:sz w:val="21"/>
                    </w:rPr>
                    <w:t>项目名称</w:t>
                  </w:r>
                </w:p>
              </w:tc>
              <w:tc>
                <w:tcPr>
                  <w:tcW w:w="2976" w:type="dxa"/>
                  <w:tcBorders>
                    <w:tl2br w:val="nil"/>
                    <w:tr2bl w:val="nil"/>
                  </w:tcBorders>
                  <w:vAlign w:val="center"/>
                </w:tcPr>
                <w:p>
                  <w:pPr>
                    <w:pStyle w:val="35"/>
                    <w:rPr>
                      <w:sz w:val="21"/>
                    </w:rPr>
                  </w:pPr>
                  <w:r>
                    <w:rPr>
                      <w:rFonts w:hint="eastAsia"/>
                      <w:sz w:val="21"/>
                    </w:rPr>
                    <w:t>新乡市公共交通集团有限责任公司</w:t>
                  </w:r>
                  <w:r>
                    <w:rPr>
                      <w:rFonts w:hint="eastAsia"/>
                      <w:sz w:val="21"/>
                      <w:lang w:eastAsia="zh-CN"/>
                    </w:rPr>
                    <w:t>柳青路加油</w:t>
                  </w:r>
                  <w:r>
                    <w:rPr>
                      <w:rFonts w:hint="eastAsia"/>
                      <w:sz w:val="21"/>
                    </w:rPr>
                    <w:t>站项目</w:t>
                  </w:r>
                </w:p>
              </w:tc>
              <w:tc>
                <w:tcPr>
                  <w:tcW w:w="2977" w:type="dxa"/>
                  <w:tcBorders>
                    <w:tl2br w:val="nil"/>
                    <w:tr2bl w:val="nil"/>
                  </w:tcBorders>
                  <w:vAlign w:val="center"/>
                </w:tcPr>
                <w:p>
                  <w:pPr>
                    <w:pStyle w:val="35"/>
                    <w:rPr>
                      <w:sz w:val="21"/>
                    </w:rPr>
                  </w:pPr>
                  <w:r>
                    <w:rPr>
                      <w:rFonts w:hint="eastAsia"/>
                      <w:sz w:val="21"/>
                    </w:rPr>
                    <w:t>新乡市公共交通集团有限责任公司</w:t>
                  </w:r>
                  <w:r>
                    <w:rPr>
                      <w:rFonts w:hint="eastAsia"/>
                      <w:sz w:val="21"/>
                      <w:lang w:eastAsia="zh-CN"/>
                    </w:rPr>
                    <w:t>柳青路加油</w:t>
                  </w:r>
                  <w:r>
                    <w:rPr>
                      <w:rFonts w:hint="eastAsia"/>
                      <w:sz w:val="21"/>
                    </w:rPr>
                    <w:t>站项目</w:t>
                  </w:r>
                </w:p>
              </w:tc>
              <w:tc>
                <w:tcPr>
                  <w:tcW w:w="1116" w:type="dxa"/>
                  <w:tcBorders>
                    <w:tl2br w:val="nil"/>
                    <w:tr2bl w:val="nil"/>
                  </w:tcBorders>
                  <w:vAlign w:val="center"/>
                </w:tcPr>
                <w:p>
                  <w:pPr>
                    <w:pStyle w:val="35"/>
                    <w:rPr>
                      <w:sz w:val="21"/>
                    </w:rPr>
                  </w:pPr>
                  <w:r>
                    <w:rPr>
                      <w:rFonts w:hint="eastAsia"/>
                      <w:sz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95" w:type="dxa"/>
                  <w:tcBorders>
                    <w:tl2br w:val="nil"/>
                    <w:tr2bl w:val="nil"/>
                  </w:tcBorders>
                  <w:vAlign w:val="center"/>
                </w:tcPr>
                <w:p>
                  <w:pPr>
                    <w:pStyle w:val="35"/>
                    <w:rPr>
                      <w:sz w:val="21"/>
                    </w:rPr>
                  </w:pPr>
                  <w:r>
                    <w:rPr>
                      <w:sz w:val="21"/>
                    </w:rPr>
                    <w:t>2</w:t>
                  </w:r>
                </w:p>
              </w:tc>
              <w:tc>
                <w:tcPr>
                  <w:tcW w:w="1148" w:type="dxa"/>
                  <w:tcBorders>
                    <w:tl2br w:val="nil"/>
                    <w:tr2bl w:val="nil"/>
                  </w:tcBorders>
                  <w:vAlign w:val="center"/>
                </w:tcPr>
                <w:p>
                  <w:pPr>
                    <w:pStyle w:val="35"/>
                    <w:rPr>
                      <w:sz w:val="21"/>
                    </w:rPr>
                  </w:pPr>
                  <w:r>
                    <w:rPr>
                      <w:sz w:val="21"/>
                    </w:rPr>
                    <w:t>建设单位</w:t>
                  </w:r>
                </w:p>
              </w:tc>
              <w:tc>
                <w:tcPr>
                  <w:tcW w:w="2976" w:type="dxa"/>
                  <w:tcBorders>
                    <w:tl2br w:val="nil"/>
                    <w:tr2bl w:val="nil"/>
                  </w:tcBorders>
                  <w:vAlign w:val="center"/>
                </w:tcPr>
                <w:p>
                  <w:pPr>
                    <w:pStyle w:val="35"/>
                    <w:rPr>
                      <w:sz w:val="21"/>
                    </w:rPr>
                  </w:pPr>
                  <w:r>
                    <w:rPr>
                      <w:rFonts w:hint="eastAsia"/>
                      <w:sz w:val="21"/>
                    </w:rPr>
                    <w:t>新乡市公共交通集团有限责任公司</w:t>
                  </w:r>
                  <w:r>
                    <w:rPr>
                      <w:rFonts w:hint="eastAsia"/>
                      <w:sz w:val="21"/>
                      <w:lang w:eastAsia="zh-CN"/>
                    </w:rPr>
                    <w:t>柳青路加油</w:t>
                  </w:r>
                  <w:r>
                    <w:rPr>
                      <w:rFonts w:hint="eastAsia"/>
                      <w:sz w:val="21"/>
                    </w:rPr>
                    <w:t>站</w:t>
                  </w:r>
                </w:p>
              </w:tc>
              <w:tc>
                <w:tcPr>
                  <w:tcW w:w="2977" w:type="dxa"/>
                  <w:tcBorders>
                    <w:tl2br w:val="nil"/>
                    <w:tr2bl w:val="nil"/>
                  </w:tcBorders>
                  <w:vAlign w:val="center"/>
                </w:tcPr>
                <w:p>
                  <w:pPr>
                    <w:pStyle w:val="35"/>
                    <w:rPr>
                      <w:sz w:val="21"/>
                    </w:rPr>
                  </w:pPr>
                  <w:r>
                    <w:rPr>
                      <w:rFonts w:hint="eastAsia"/>
                      <w:sz w:val="21"/>
                    </w:rPr>
                    <w:t>新乡市公共交通集团有限责任公司</w:t>
                  </w:r>
                  <w:r>
                    <w:rPr>
                      <w:rFonts w:hint="eastAsia"/>
                      <w:sz w:val="21"/>
                      <w:lang w:eastAsia="zh-CN"/>
                    </w:rPr>
                    <w:t>柳青路加油</w:t>
                  </w:r>
                  <w:r>
                    <w:rPr>
                      <w:rFonts w:hint="eastAsia"/>
                      <w:sz w:val="21"/>
                    </w:rPr>
                    <w:t>站</w:t>
                  </w:r>
                </w:p>
              </w:tc>
              <w:tc>
                <w:tcPr>
                  <w:tcW w:w="1116" w:type="dxa"/>
                  <w:tcBorders>
                    <w:tl2br w:val="nil"/>
                    <w:tr2bl w:val="nil"/>
                  </w:tcBorders>
                  <w:vAlign w:val="center"/>
                </w:tcPr>
                <w:p>
                  <w:pPr>
                    <w:pStyle w:val="35"/>
                    <w:rPr>
                      <w:sz w:val="21"/>
                    </w:rPr>
                  </w:pPr>
                  <w:r>
                    <w:rPr>
                      <w:sz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3</w:t>
                  </w:r>
                </w:p>
              </w:tc>
              <w:tc>
                <w:tcPr>
                  <w:tcW w:w="1148" w:type="dxa"/>
                  <w:tcBorders>
                    <w:tl2br w:val="nil"/>
                    <w:tr2bl w:val="nil"/>
                  </w:tcBorders>
                  <w:vAlign w:val="center"/>
                </w:tcPr>
                <w:p>
                  <w:pPr>
                    <w:pStyle w:val="35"/>
                    <w:rPr>
                      <w:sz w:val="21"/>
                    </w:rPr>
                  </w:pPr>
                  <w:r>
                    <w:rPr>
                      <w:sz w:val="21"/>
                    </w:rPr>
                    <w:t>产品方案</w:t>
                  </w:r>
                </w:p>
              </w:tc>
              <w:tc>
                <w:tcPr>
                  <w:tcW w:w="2976" w:type="dxa"/>
                  <w:tcBorders>
                    <w:tl2br w:val="nil"/>
                    <w:tr2bl w:val="nil"/>
                  </w:tcBorders>
                  <w:vAlign w:val="center"/>
                </w:tcPr>
                <w:p>
                  <w:pPr>
                    <w:pStyle w:val="35"/>
                    <w:rPr>
                      <w:sz w:val="21"/>
                    </w:rPr>
                  </w:pPr>
                  <w:r>
                    <w:rPr>
                      <w:rFonts w:hint="eastAsia"/>
                      <w:sz w:val="21"/>
                    </w:rPr>
                    <w:t>年加CNG气1000万方、柴油500吨、汽油2000吨</w:t>
                  </w:r>
                </w:p>
              </w:tc>
              <w:tc>
                <w:tcPr>
                  <w:tcW w:w="2977" w:type="dxa"/>
                  <w:tcBorders>
                    <w:tl2br w:val="nil"/>
                    <w:tr2bl w:val="nil"/>
                  </w:tcBorders>
                  <w:vAlign w:val="center"/>
                </w:tcPr>
                <w:p>
                  <w:pPr>
                    <w:pStyle w:val="35"/>
                    <w:rPr>
                      <w:sz w:val="21"/>
                    </w:rPr>
                  </w:pPr>
                  <w:r>
                    <w:rPr>
                      <w:rFonts w:hint="eastAsia"/>
                      <w:sz w:val="21"/>
                    </w:rPr>
                    <w:t>年加汽油</w:t>
                  </w:r>
                  <w:r>
                    <w:rPr>
                      <w:rFonts w:hint="eastAsia"/>
                      <w:sz w:val="21"/>
                      <w:lang w:val="en-US" w:eastAsia="zh-CN"/>
                    </w:rPr>
                    <w:t>2000</w:t>
                  </w:r>
                  <w:r>
                    <w:rPr>
                      <w:rFonts w:hint="eastAsia"/>
                      <w:sz w:val="21"/>
                    </w:rPr>
                    <w:t>吨</w:t>
                  </w:r>
                </w:p>
              </w:tc>
              <w:tc>
                <w:tcPr>
                  <w:tcW w:w="1116" w:type="dxa"/>
                  <w:tcBorders>
                    <w:tl2br w:val="nil"/>
                    <w:tr2bl w:val="nil"/>
                  </w:tcBorders>
                  <w:vAlign w:val="center"/>
                </w:tcPr>
                <w:p>
                  <w:pPr>
                    <w:pStyle w:val="35"/>
                    <w:rPr>
                      <w:sz w:val="21"/>
                      <w:lang w:eastAsia="zh-Hans"/>
                    </w:rPr>
                  </w:pPr>
                  <w:r>
                    <w:rPr>
                      <w:rFonts w:hint="eastAsia"/>
                      <w:sz w:val="21"/>
                      <w:lang w:eastAsia="zh-Hans"/>
                    </w:rPr>
                    <w:t>产能减小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4</w:t>
                  </w:r>
                </w:p>
              </w:tc>
              <w:tc>
                <w:tcPr>
                  <w:tcW w:w="1148" w:type="dxa"/>
                  <w:tcBorders>
                    <w:tl2br w:val="nil"/>
                    <w:tr2bl w:val="nil"/>
                  </w:tcBorders>
                  <w:vAlign w:val="center"/>
                </w:tcPr>
                <w:p>
                  <w:pPr>
                    <w:pStyle w:val="35"/>
                    <w:rPr>
                      <w:sz w:val="21"/>
                    </w:rPr>
                  </w:pPr>
                  <w:r>
                    <w:rPr>
                      <w:sz w:val="21"/>
                    </w:rPr>
                    <w:t>项目地址</w:t>
                  </w:r>
                </w:p>
              </w:tc>
              <w:tc>
                <w:tcPr>
                  <w:tcW w:w="2976" w:type="dxa"/>
                  <w:tcBorders>
                    <w:tl2br w:val="nil"/>
                    <w:tr2bl w:val="nil"/>
                  </w:tcBorders>
                  <w:vAlign w:val="center"/>
                </w:tcPr>
                <w:p>
                  <w:pPr>
                    <w:pStyle w:val="35"/>
                    <w:rPr>
                      <w:sz w:val="21"/>
                    </w:rPr>
                  </w:pPr>
                  <w:r>
                    <w:rPr>
                      <w:rFonts w:hint="eastAsia"/>
                      <w:color w:val="auto"/>
                      <w:sz w:val="21"/>
                      <w:szCs w:val="24"/>
                    </w:rPr>
                    <w:t>柳青路与新二街东南角公交场站内</w:t>
                  </w:r>
                </w:p>
              </w:tc>
              <w:tc>
                <w:tcPr>
                  <w:tcW w:w="2977" w:type="dxa"/>
                  <w:tcBorders>
                    <w:tl2br w:val="nil"/>
                    <w:tr2bl w:val="nil"/>
                  </w:tcBorders>
                  <w:vAlign w:val="center"/>
                </w:tcPr>
                <w:p>
                  <w:pPr>
                    <w:pStyle w:val="35"/>
                    <w:rPr>
                      <w:sz w:val="21"/>
                    </w:rPr>
                  </w:pPr>
                  <w:r>
                    <w:rPr>
                      <w:rFonts w:hint="eastAsia"/>
                      <w:color w:val="auto"/>
                      <w:sz w:val="21"/>
                      <w:szCs w:val="24"/>
                    </w:rPr>
                    <w:t>柳青路与新二街东南角公交场站内</w:t>
                  </w:r>
                </w:p>
              </w:tc>
              <w:tc>
                <w:tcPr>
                  <w:tcW w:w="1116" w:type="dxa"/>
                  <w:tcBorders>
                    <w:tl2br w:val="nil"/>
                    <w:tr2bl w:val="nil"/>
                  </w:tcBorders>
                  <w:vAlign w:val="center"/>
                </w:tcPr>
                <w:p>
                  <w:pPr>
                    <w:pStyle w:val="35"/>
                    <w:rPr>
                      <w:sz w:val="21"/>
                    </w:rPr>
                  </w:pPr>
                  <w:r>
                    <w:rPr>
                      <w:sz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5</w:t>
                  </w:r>
                </w:p>
              </w:tc>
              <w:tc>
                <w:tcPr>
                  <w:tcW w:w="1148" w:type="dxa"/>
                  <w:tcBorders>
                    <w:tl2br w:val="nil"/>
                    <w:tr2bl w:val="nil"/>
                  </w:tcBorders>
                  <w:vAlign w:val="center"/>
                </w:tcPr>
                <w:p>
                  <w:pPr>
                    <w:pStyle w:val="35"/>
                    <w:rPr>
                      <w:sz w:val="21"/>
                    </w:rPr>
                  </w:pPr>
                  <w:r>
                    <w:rPr>
                      <w:sz w:val="21"/>
                    </w:rPr>
                    <w:t>占地面积</w:t>
                  </w:r>
                </w:p>
              </w:tc>
              <w:tc>
                <w:tcPr>
                  <w:tcW w:w="2976" w:type="dxa"/>
                  <w:tcBorders>
                    <w:tl2br w:val="nil"/>
                    <w:tr2bl w:val="nil"/>
                  </w:tcBorders>
                  <w:vAlign w:val="center"/>
                </w:tcPr>
                <w:p>
                  <w:pPr>
                    <w:pStyle w:val="35"/>
                    <w:rPr>
                      <w:sz w:val="21"/>
                    </w:rPr>
                  </w:pPr>
                  <w:r>
                    <w:rPr>
                      <w:rFonts w:hint="eastAsia"/>
                      <w:color w:val="auto"/>
                      <w:sz w:val="21"/>
                    </w:rPr>
                    <w:t>2667</w:t>
                  </w:r>
                  <w:r>
                    <w:rPr>
                      <w:color w:val="auto"/>
                      <w:sz w:val="21"/>
                    </w:rPr>
                    <w:t>平方米</w:t>
                  </w:r>
                </w:p>
              </w:tc>
              <w:tc>
                <w:tcPr>
                  <w:tcW w:w="2977" w:type="dxa"/>
                  <w:tcBorders>
                    <w:tl2br w:val="nil"/>
                    <w:tr2bl w:val="nil"/>
                  </w:tcBorders>
                  <w:vAlign w:val="center"/>
                </w:tcPr>
                <w:p>
                  <w:pPr>
                    <w:pStyle w:val="35"/>
                    <w:rPr>
                      <w:sz w:val="21"/>
                    </w:rPr>
                  </w:pPr>
                  <w:r>
                    <w:rPr>
                      <w:rFonts w:hint="eastAsia"/>
                      <w:sz w:val="21"/>
                    </w:rPr>
                    <w:t>2667平方米</w:t>
                  </w:r>
                </w:p>
              </w:tc>
              <w:tc>
                <w:tcPr>
                  <w:tcW w:w="1116" w:type="dxa"/>
                  <w:tcBorders>
                    <w:tl2br w:val="nil"/>
                    <w:tr2bl w:val="nil"/>
                  </w:tcBorders>
                  <w:vAlign w:val="center"/>
                </w:tcPr>
                <w:p>
                  <w:pPr>
                    <w:pStyle w:val="35"/>
                    <w:rPr>
                      <w:sz w:val="21"/>
                    </w:rPr>
                  </w:pPr>
                  <w:r>
                    <w:rPr>
                      <w:sz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6</w:t>
                  </w:r>
                </w:p>
              </w:tc>
              <w:tc>
                <w:tcPr>
                  <w:tcW w:w="1148" w:type="dxa"/>
                  <w:tcBorders>
                    <w:tl2br w:val="nil"/>
                    <w:tr2bl w:val="nil"/>
                  </w:tcBorders>
                  <w:vAlign w:val="center"/>
                </w:tcPr>
                <w:p>
                  <w:pPr>
                    <w:pStyle w:val="35"/>
                    <w:rPr>
                      <w:sz w:val="21"/>
                    </w:rPr>
                  </w:pPr>
                  <w:r>
                    <w:rPr>
                      <w:sz w:val="21"/>
                    </w:rPr>
                    <w:t>总投资（万元）</w:t>
                  </w:r>
                </w:p>
              </w:tc>
              <w:tc>
                <w:tcPr>
                  <w:tcW w:w="2976" w:type="dxa"/>
                  <w:tcBorders>
                    <w:tl2br w:val="nil"/>
                    <w:tr2bl w:val="nil"/>
                  </w:tcBorders>
                  <w:vAlign w:val="center"/>
                </w:tcPr>
                <w:p>
                  <w:pPr>
                    <w:pStyle w:val="35"/>
                    <w:rPr>
                      <w:sz w:val="21"/>
                    </w:rPr>
                  </w:pPr>
                  <w:r>
                    <w:rPr>
                      <w:rFonts w:hint="eastAsia"/>
                      <w:sz w:val="21"/>
                    </w:rPr>
                    <w:t>600</w:t>
                  </w:r>
                </w:p>
              </w:tc>
              <w:tc>
                <w:tcPr>
                  <w:tcW w:w="2977" w:type="dxa"/>
                  <w:tcBorders>
                    <w:tl2br w:val="nil"/>
                    <w:tr2bl w:val="nil"/>
                  </w:tcBorders>
                  <w:vAlign w:val="center"/>
                </w:tcPr>
                <w:p>
                  <w:pPr>
                    <w:pStyle w:val="35"/>
                    <w:rPr>
                      <w:sz w:val="21"/>
                    </w:rPr>
                  </w:pPr>
                  <w:r>
                    <w:rPr>
                      <w:rFonts w:hint="eastAsia"/>
                      <w:sz w:val="21"/>
                    </w:rPr>
                    <w:t>600</w:t>
                  </w:r>
                </w:p>
              </w:tc>
              <w:tc>
                <w:tcPr>
                  <w:tcW w:w="1116" w:type="dxa"/>
                  <w:tcBorders>
                    <w:tl2br w:val="nil"/>
                    <w:tr2bl w:val="nil"/>
                  </w:tcBorders>
                  <w:vAlign w:val="center"/>
                </w:tcPr>
                <w:p>
                  <w:pPr>
                    <w:pStyle w:val="35"/>
                    <w:rPr>
                      <w:sz w:val="21"/>
                    </w:rPr>
                  </w:pPr>
                  <w:r>
                    <w:rPr>
                      <w:sz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7</w:t>
                  </w:r>
                </w:p>
              </w:tc>
              <w:tc>
                <w:tcPr>
                  <w:tcW w:w="1148" w:type="dxa"/>
                  <w:tcBorders>
                    <w:tl2br w:val="nil"/>
                    <w:tr2bl w:val="nil"/>
                  </w:tcBorders>
                  <w:vAlign w:val="center"/>
                </w:tcPr>
                <w:p>
                  <w:pPr>
                    <w:pStyle w:val="35"/>
                    <w:rPr>
                      <w:sz w:val="21"/>
                    </w:rPr>
                  </w:pPr>
                  <w:r>
                    <w:rPr>
                      <w:sz w:val="21"/>
                    </w:rPr>
                    <w:t>劳动制度</w:t>
                  </w:r>
                </w:p>
              </w:tc>
              <w:tc>
                <w:tcPr>
                  <w:tcW w:w="2976" w:type="dxa"/>
                  <w:tcBorders>
                    <w:tl2br w:val="nil"/>
                    <w:tr2bl w:val="nil"/>
                  </w:tcBorders>
                  <w:vAlign w:val="center"/>
                </w:tcPr>
                <w:p>
                  <w:pPr>
                    <w:pStyle w:val="35"/>
                    <w:rPr>
                      <w:sz w:val="21"/>
                    </w:rPr>
                  </w:pPr>
                  <w:r>
                    <w:rPr>
                      <w:sz w:val="21"/>
                    </w:rPr>
                    <w:t>单班制，年工作</w:t>
                  </w:r>
                  <w:r>
                    <w:rPr>
                      <w:rFonts w:hint="eastAsia"/>
                      <w:sz w:val="21"/>
                    </w:rPr>
                    <w:t>365</w:t>
                  </w:r>
                  <w:r>
                    <w:rPr>
                      <w:sz w:val="21"/>
                    </w:rPr>
                    <w:t>天</w:t>
                  </w:r>
                </w:p>
              </w:tc>
              <w:tc>
                <w:tcPr>
                  <w:tcW w:w="2977" w:type="dxa"/>
                  <w:tcBorders>
                    <w:tl2br w:val="nil"/>
                    <w:tr2bl w:val="nil"/>
                  </w:tcBorders>
                  <w:vAlign w:val="center"/>
                </w:tcPr>
                <w:p>
                  <w:pPr>
                    <w:pStyle w:val="35"/>
                    <w:rPr>
                      <w:sz w:val="21"/>
                    </w:rPr>
                  </w:pPr>
                  <w:r>
                    <w:rPr>
                      <w:sz w:val="21"/>
                    </w:rPr>
                    <w:t>单班制，年工作3</w:t>
                  </w:r>
                  <w:r>
                    <w:rPr>
                      <w:rFonts w:hint="eastAsia"/>
                      <w:sz w:val="21"/>
                    </w:rPr>
                    <w:t>65</w:t>
                  </w:r>
                  <w:r>
                    <w:rPr>
                      <w:sz w:val="21"/>
                    </w:rPr>
                    <w:t>天</w:t>
                  </w:r>
                </w:p>
              </w:tc>
              <w:tc>
                <w:tcPr>
                  <w:tcW w:w="1116" w:type="dxa"/>
                  <w:tcBorders>
                    <w:tl2br w:val="nil"/>
                    <w:tr2bl w:val="nil"/>
                  </w:tcBorders>
                  <w:vAlign w:val="center"/>
                </w:tcPr>
                <w:p>
                  <w:pPr>
                    <w:pStyle w:val="35"/>
                    <w:rPr>
                      <w:sz w:val="21"/>
                    </w:rPr>
                  </w:pPr>
                  <w:r>
                    <w:rPr>
                      <w:sz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pPr>
                    <w:pStyle w:val="35"/>
                    <w:rPr>
                      <w:sz w:val="21"/>
                    </w:rPr>
                  </w:pPr>
                  <w:r>
                    <w:rPr>
                      <w:sz w:val="21"/>
                    </w:rPr>
                    <w:t>8</w:t>
                  </w:r>
                </w:p>
              </w:tc>
              <w:tc>
                <w:tcPr>
                  <w:tcW w:w="1148" w:type="dxa"/>
                  <w:tcBorders>
                    <w:tl2br w:val="nil"/>
                    <w:tr2bl w:val="nil"/>
                  </w:tcBorders>
                  <w:vAlign w:val="center"/>
                </w:tcPr>
                <w:p>
                  <w:pPr>
                    <w:pStyle w:val="35"/>
                    <w:rPr>
                      <w:sz w:val="21"/>
                    </w:rPr>
                  </w:pPr>
                  <w:r>
                    <w:rPr>
                      <w:sz w:val="21"/>
                    </w:rPr>
                    <w:t>定员</w:t>
                  </w:r>
                </w:p>
              </w:tc>
              <w:tc>
                <w:tcPr>
                  <w:tcW w:w="2976" w:type="dxa"/>
                  <w:tcBorders>
                    <w:tl2br w:val="nil"/>
                    <w:tr2bl w:val="nil"/>
                  </w:tcBorders>
                  <w:vAlign w:val="center"/>
                </w:tcPr>
                <w:p>
                  <w:pPr>
                    <w:pStyle w:val="35"/>
                    <w:rPr>
                      <w:sz w:val="21"/>
                    </w:rPr>
                  </w:pPr>
                  <w:r>
                    <w:rPr>
                      <w:sz w:val="21"/>
                    </w:rPr>
                    <w:t>10人</w:t>
                  </w:r>
                </w:p>
              </w:tc>
              <w:tc>
                <w:tcPr>
                  <w:tcW w:w="2977" w:type="dxa"/>
                  <w:tcBorders>
                    <w:tl2br w:val="nil"/>
                    <w:tr2bl w:val="nil"/>
                  </w:tcBorders>
                  <w:vAlign w:val="center"/>
                </w:tcPr>
                <w:p>
                  <w:pPr>
                    <w:pStyle w:val="35"/>
                    <w:rPr>
                      <w:sz w:val="21"/>
                    </w:rPr>
                  </w:pPr>
                  <w:r>
                    <w:rPr>
                      <w:sz w:val="21"/>
                    </w:rPr>
                    <w:t>10人</w:t>
                  </w:r>
                </w:p>
              </w:tc>
              <w:tc>
                <w:tcPr>
                  <w:tcW w:w="1116" w:type="dxa"/>
                  <w:tcBorders>
                    <w:tl2br w:val="nil"/>
                    <w:tr2bl w:val="nil"/>
                  </w:tcBorders>
                  <w:vAlign w:val="center"/>
                </w:tcPr>
                <w:p>
                  <w:pPr>
                    <w:pStyle w:val="35"/>
                    <w:rPr>
                      <w:sz w:val="21"/>
                    </w:rPr>
                  </w:pPr>
                  <w:r>
                    <w:rPr>
                      <w:sz w:val="21"/>
                    </w:rPr>
                    <w:t>一致</w:t>
                  </w:r>
                </w:p>
              </w:tc>
            </w:tr>
          </w:tbl>
          <w:p>
            <w:r>
              <w:t>3、该项目主要组成情况见下表：</w:t>
            </w:r>
          </w:p>
          <w:p>
            <w:pPr>
              <w:pStyle w:val="32"/>
              <w:ind w:firstLine="480"/>
            </w:pPr>
            <w:r>
              <w:t>表</w:t>
            </w:r>
            <w:r>
              <w:rPr>
                <w:rFonts w:hint="eastAsia"/>
              </w:rPr>
              <w:t xml:space="preserve">4                     </w:t>
            </w:r>
            <w:r>
              <w:t>项目组成一览表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80"/>
              <w:gridCol w:w="697"/>
              <w:gridCol w:w="1540"/>
              <w:gridCol w:w="2316"/>
              <w:gridCol w:w="2452"/>
              <w:gridCol w:w="9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restart"/>
                  <w:tcBorders>
                    <w:tl2br w:val="nil"/>
                    <w:tr2bl w:val="nil"/>
                  </w:tcBorders>
                  <w:vAlign w:val="center"/>
                </w:tcPr>
                <w:p>
                  <w:pPr>
                    <w:pStyle w:val="35"/>
                    <w:rPr>
                      <w:b/>
                      <w:bCs/>
                      <w:sz w:val="21"/>
                    </w:rPr>
                  </w:pPr>
                  <w:r>
                    <w:rPr>
                      <w:rFonts w:hint="eastAsia"/>
                      <w:b/>
                      <w:bCs/>
                      <w:sz w:val="21"/>
                    </w:rPr>
                    <w:t>序号</w:t>
                  </w:r>
                </w:p>
              </w:tc>
              <w:tc>
                <w:tcPr>
                  <w:tcW w:w="697" w:type="dxa"/>
                  <w:vMerge w:val="restart"/>
                  <w:tcBorders>
                    <w:tl2br w:val="nil"/>
                    <w:tr2bl w:val="nil"/>
                  </w:tcBorders>
                  <w:vAlign w:val="center"/>
                </w:tcPr>
                <w:p>
                  <w:pPr>
                    <w:pStyle w:val="35"/>
                    <w:spacing w:line="240" w:lineRule="auto"/>
                    <w:rPr>
                      <w:b/>
                      <w:bCs/>
                      <w:sz w:val="21"/>
                    </w:rPr>
                  </w:pPr>
                  <w:r>
                    <w:rPr>
                      <w:b/>
                      <w:bCs/>
                      <w:sz w:val="21"/>
                    </w:rPr>
                    <w:t>项目</w:t>
                  </w:r>
                </w:p>
              </w:tc>
              <w:tc>
                <w:tcPr>
                  <w:tcW w:w="1540" w:type="dxa"/>
                  <w:vMerge w:val="restart"/>
                  <w:tcBorders>
                    <w:tl2br w:val="nil"/>
                    <w:tr2bl w:val="nil"/>
                  </w:tcBorders>
                  <w:vAlign w:val="center"/>
                </w:tcPr>
                <w:p>
                  <w:pPr>
                    <w:pStyle w:val="35"/>
                    <w:spacing w:line="240" w:lineRule="auto"/>
                    <w:rPr>
                      <w:b/>
                      <w:bCs/>
                      <w:sz w:val="21"/>
                    </w:rPr>
                  </w:pPr>
                  <w:r>
                    <w:rPr>
                      <w:b/>
                      <w:bCs/>
                      <w:sz w:val="21"/>
                    </w:rPr>
                    <w:t>建设内容</w:t>
                  </w:r>
                </w:p>
              </w:tc>
              <w:tc>
                <w:tcPr>
                  <w:tcW w:w="4768" w:type="dxa"/>
                  <w:gridSpan w:val="2"/>
                  <w:tcBorders>
                    <w:tl2br w:val="nil"/>
                    <w:tr2bl w:val="nil"/>
                  </w:tcBorders>
                  <w:vAlign w:val="center"/>
                </w:tcPr>
                <w:p>
                  <w:pPr>
                    <w:pStyle w:val="35"/>
                    <w:spacing w:line="240" w:lineRule="auto"/>
                    <w:rPr>
                      <w:b/>
                      <w:bCs/>
                      <w:sz w:val="21"/>
                    </w:rPr>
                  </w:pPr>
                  <w:r>
                    <w:rPr>
                      <w:b/>
                      <w:bCs/>
                      <w:sz w:val="21"/>
                    </w:rPr>
                    <w:t>数量、规模或要求</w:t>
                  </w:r>
                </w:p>
              </w:tc>
              <w:tc>
                <w:tcPr>
                  <w:tcW w:w="921" w:type="dxa"/>
                  <w:vMerge w:val="restart"/>
                  <w:tcBorders>
                    <w:tl2br w:val="nil"/>
                    <w:tr2bl w:val="nil"/>
                  </w:tcBorders>
                  <w:vAlign w:val="center"/>
                </w:tcPr>
                <w:p>
                  <w:pPr>
                    <w:pStyle w:val="35"/>
                    <w:spacing w:line="240" w:lineRule="auto"/>
                    <w:rPr>
                      <w:b/>
                      <w:bCs/>
                      <w:sz w:val="21"/>
                    </w:rPr>
                  </w:pPr>
                  <w:r>
                    <w:rPr>
                      <w:b/>
                      <w:bCs/>
                      <w:sz w:val="21"/>
                    </w:rPr>
                    <w:t>是否与环评一致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rPr>
                      <w:sz w:val="21"/>
                    </w:rPr>
                  </w:pPr>
                </w:p>
              </w:tc>
              <w:tc>
                <w:tcPr>
                  <w:tcW w:w="697" w:type="dxa"/>
                  <w:vMerge w:val="continue"/>
                  <w:tcBorders>
                    <w:tl2br w:val="nil"/>
                    <w:tr2bl w:val="nil"/>
                  </w:tcBorders>
                  <w:vAlign w:val="center"/>
                </w:tcPr>
                <w:p>
                  <w:pPr>
                    <w:pStyle w:val="35"/>
                    <w:spacing w:line="240" w:lineRule="auto"/>
                    <w:rPr>
                      <w:sz w:val="21"/>
                    </w:rPr>
                  </w:pPr>
                </w:p>
              </w:tc>
              <w:tc>
                <w:tcPr>
                  <w:tcW w:w="1540" w:type="dxa"/>
                  <w:vMerge w:val="continue"/>
                  <w:tcBorders>
                    <w:tl2br w:val="nil"/>
                    <w:tr2bl w:val="nil"/>
                  </w:tcBorders>
                  <w:vAlign w:val="center"/>
                </w:tcPr>
                <w:p>
                  <w:pPr>
                    <w:pStyle w:val="35"/>
                    <w:spacing w:line="240" w:lineRule="auto"/>
                    <w:rPr>
                      <w:sz w:val="21"/>
                    </w:rPr>
                  </w:pPr>
                </w:p>
              </w:tc>
              <w:tc>
                <w:tcPr>
                  <w:tcW w:w="2316" w:type="dxa"/>
                  <w:tcBorders>
                    <w:tl2br w:val="nil"/>
                    <w:tr2bl w:val="nil"/>
                  </w:tcBorders>
                  <w:vAlign w:val="center"/>
                </w:tcPr>
                <w:p>
                  <w:pPr>
                    <w:pStyle w:val="35"/>
                    <w:spacing w:line="240" w:lineRule="auto"/>
                    <w:rPr>
                      <w:sz w:val="21"/>
                    </w:rPr>
                  </w:pPr>
                  <w:r>
                    <w:rPr>
                      <w:sz w:val="21"/>
                    </w:rPr>
                    <w:t>环评批复</w:t>
                  </w:r>
                </w:p>
              </w:tc>
              <w:tc>
                <w:tcPr>
                  <w:tcW w:w="2452" w:type="dxa"/>
                  <w:tcBorders>
                    <w:tl2br w:val="nil"/>
                    <w:tr2bl w:val="nil"/>
                  </w:tcBorders>
                  <w:vAlign w:val="center"/>
                </w:tcPr>
                <w:p>
                  <w:pPr>
                    <w:pStyle w:val="35"/>
                    <w:spacing w:line="240" w:lineRule="auto"/>
                    <w:rPr>
                      <w:sz w:val="21"/>
                    </w:rPr>
                  </w:pPr>
                  <w:r>
                    <w:rPr>
                      <w:sz w:val="21"/>
                    </w:rPr>
                    <w:t>实际建设</w:t>
                  </w:r>
                </w:p>
              </w:tc>
              <w:tc>
                <w:tcPr>
                  <w:tcW w:w="921" w:type="dxa"/>
                  <w:vMerge w:val="continue"/>
                  <w:tcBorders>
                    <w:tl2br w:val="nil"/>
                    <w:tr2bl w:val="nil"/>
                  </w:tcBorders>
                  <w:vAlign w:val="center"/>
                </w:tcPr>
                <w:p>
                  <w:pPr>
                    <w:pStyle w:val="35"/>
                    <w:spacing w:line="240" w:lineRule="auto"/>
                    <w:rPr>
                      <w:sz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1" w:hRule="atLeast"/>
                <w:jc w:val="center"/>
              </w:trPr>
              <w:tc>
                <w:tcPr>
                  <w:tcW w:w="380" w:type="dxa"/>
                  <w:vMerge w:val="restart"/>
                  <w:tcBorders>
                    <w:tl2br w:val="nil"/>
                    <w:tr2bl w:val="nil"/>
                  </w:tcBorders>
                  <w:vAlign w:val="center"/>
                </w:tcPr>
                <w:p>
                  <w:pPr>
                    <w:pStyle w:val="35"/>
                    <w:rPr>
                      <w:sz w:val="21"/>
                    </w:rPr>
                  </w:pPr>
                  <w:r>
                    <w:rPr>
                      <w:rFonts w:hint="eastAsia"/>
                      <w:sz w:val="21"/>
                    </w:rPr>
                    <w:t>1</w:t>
                  </w:r>
                </w:p>
              </w:tc>
              <w:tc>
                <w:tcPr>
                  <w:tcW w:w="697" w:type="dxa"/>
                  <w:vMerge w:val="restart"/>
                  <w:tcBorders>
                    <w:tl2br w:val="nil"/>
                    <w:tr2bl w:val="nil"/>
                  </w:tcBorders>
                  <w:vAlign w:val="center"/>
                </w:tcPr>
                <w:p>
                  <w:pPr>
                    <w:pStyle w:val="35"/>
                    <w:spacing w:line="240" w:lineRule="auto"/>
                    <w:rPr>
                      <w:sz w:val="21"/>
                    </w:rPr>
                  </w:pPr>
                  <w:r>
                    <w:rPr>
                      <w:sz w:val="21"/>
                    </w:rPr>
                    <w:t>主体工程</w:t>
                  </w:r>
                </w:p>
              </w:tc>
              <w:tc>
                <w:tcPr>
                  <w:tcW w:w="1540" w:type="dxa"/>
                  <w:tcBorders>
                    <w:tl2br w:val="nil"/>
                    <w:tr2bl w:val="nil"/>
                  </w:tcBorders>
                  <w:vAlign w:val="center"/>
                </w:tcPr>
                <w:p>
                  <w:pPr>
                    <w:spacing w:line="240" w:lineRule="auto"/>
                    <w:jc w:val="center"/>
                    <w:rPr>
                      <w:sz w:val="21"/>
                      <w:szCs w:val="21"/>
                    </w:rPr>
                  </w:pPr>
                  <w:r>
                    <w:rPr>
                      <w:rFonts w:hint="eastAsia"/>
                      <w:sz w:val="21"/>
                      <w:szCs w:val="21"/>
                      <w:lang w:val="pt-BR"/>
                    </w:rPr>
                    <w:t>加油、加气站房</w:t>
                  </w:r>
                </w:p>
              </w:tc>
              <w:tc>
                <w:tcPr>
                  <w:tcW w:w="2316" w:type="dxa"/>
                  <w:tcBorders>
                    <w:tl2br w:val="nil"/>
                    <w:tr2bl w:val="nil"/>
                  </w:tcBorders>
                  <w:vAlign w:val="center"/>
                </w:tcPr>
                <w:p>
                  <w:pPr>
                    <w:spacing w:line="240" w:lineRule="auto"/>
                    <w:jc w:val="center"/>
                    <w:rPr>
                      <w:sz w:val="21"/>
                      <w:szCs w:val="21"/>
                    </w:rPr>
                  </w:pPr>
                  <w:r>
                    <w:rPr>
                      <w:rFonts w:hint="eastAsia"/>
                      <w:color w:val="auto"/>
                      <w:sz w:val="21"/>
                      <w:szCs w:val="21"/>
                      <w:lang w:val="pt-BR"/>
                    </w:rPr>
                    <w:t>1座，建筑面积为155.24m</w:t>
                  </w:r>
                  <w:r>
                    <w:rPr>
                      <w:rFonts w:hint="eastAsia"/>
                      <w:color w:val="auto"/>
                      <w:sz w:val="21"/>
                      <w:szCs w:val="21"/>
                      <w:vertAlign w:val="superscript"/>
                      <w:lang w:val="pt-BR"/>
                    </w:rPr>
                    <w:t>2</w:t>
                  </w:r>
                  <w:r>
                    <w:rPr>
                      <w:rFonts w:hint="eastAsia"/>
                      <w:color w:val="auto"/>
                      <w:sz w:val="21"/>
                      <w:szCs w:val="21"/>
                      <w:lang w:val="pt-BR"/>
                    </w:rPr>
                    <w:t>，砖混单层</w:t>
                  </w:r>
                </w:p>
              </w:tc>
              <w:tc>
                <w:tcPr>
                  <w:tcW w:w="2452" w:type="dxa"/>
                  <w:tcBorders>
                    <w:tl2br w:val="nil"/>
                    <w:tr2bl w:val="nil"/>
                  </w:tcBorders>
                  <w:vAlign w:val="center"/>
                </w:tcPr>
                <w:p>
                  <w:pPr>
                    <w:spacing w:line="240" w:lineRule="auto"/>
                    <w:jc w:val="center"/>
                    <w:rPr>
                      <w:sz w:val="21"/>
                      <w:szCs w:val="21"/>
                    </w:rPr>
                  </w:pPr>
                  <w:r>
                    <w:rPr>
                      <w:rFonts w:hint="eastAsia"/>
                      <w:color w:val="auto"/>
                      <w:sz w:val="21"/>
                      <w:szCs w:val="21"/>
                      <w:lang w:val="pt-BR"/>
                    </w:rPr>
                    <w:t>1座，建筑面积为155.24m</w:t>
                  </w:r>
                  <w:r>
                    <w:rPr>
                      <w:rFonts w:hint="eastAsia"/>
                      <w:color w:val="auto"/>
                      <w:sz w:val="21"/>
                      <w:szCs w:val="21"/>
                      <w:vertAlign w:val="superscript"/>
                      <w:lang w:val="pt-BR"/>
                    </w:rPr>
                    <w:t>2</w:t>
                  </w:r>
                  <w:r>
                    <w:rPr>
                      <w:rFonts w:hint="eastAsia"/>
                      <w:color w:val="auto"/>
                      <w:sz w:val="21"/>
                      <w:szCs w:val="21"/>
                      <w:lang w:val="pt-BR"/>
                    </w:rPr>
                    <w:t>，砖混单层</w:t>
                  </w:r>
                </w:p>
              </w:tc>
              <w:tc>
                <w:tcPr>
                  <w:tcW w:w="921" w:type="dxa"/>
                  <w:vMerge w:val="restart"/>
                  <w:tcBorders>
                    <w:tl2br w:val="nil"/>
                    <w:tr2bl w:val="nil"/>
                  </w:tcBorders>
                  <w:vAlign w:val="center"/>
                </w:tcPr>
                <w:p>
                  <w:pPr>
                    <w:pStyle w:val="35"/>
                    <w:spacing w:line="240" w:lineRule="auto"/>
                    <w:rPr>
                      <w:sz w:val="21"/>
                    </w:rPr>
                  </w:pPr>
                  <w:r>
                    <w:rPr>
                      <w:sz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5" w:hRule="atLeast"/>
                <w:jc w:val="center"/>
              </w:trPr>
              <w:tc>
                <w:tcPr>
                  <w:tcW w:w="380" w:type="dxa"/>
                  <w:vMerge w:val="continue"/>
                  <w:tcBorders>
                    <w:tl2br w:val="nil"/>
                    <w:tr2bl w:val="nil"/>
                  </w:tcBorders>
                  <w:vAlign w:val="center"/>
                </w:tcPr>
                <w:p>
                  <w:pPr>
                    <w:pStyle w:val="35"/>
                    <w:rPr>
                      <w:sz w:val="21"/>
                    </w:rPr>
                  </w:pPr>
                </w:p>
              </w:tc>
              <w:tc>
                <w:tcPr>
                  <w:tcW w:w="697" w:type="dxa"/>
                  <w:vMerge w:val="continue"/>
                  <w:tcBorders>
                    <w:tl2br w:val="nil"/>
                    <w:tr2bl w:val="nil"/>
                  </w:tcBorders>
                  <w:vAlign w:val="center"/>
                </w:tcPr>
                <w:p>
                  <w:pPr>
                    <w:pStyle w:val="35"/>
                    <w:spacing w:line="240" w:lineRule="auto"/>
                    <w:rPr>
                      <w:sz w:val="21"/>
                    </w:rPr>
                  </w:pPr>
                </w:p>
              </w:tc>
              <w:tc>
                <w:tcPr>
                  <w:tcW w:w="1540" w:type="dxa"/>
                  <w:tcBorders>
                    <w:tl2br w:val="nil"/>
                    <w:tr2bl w:val="nil"/>
                  </w:tcBorders>
                  <w:vAlign w:val="center"/>
                </w:tcPr>
                <w:p>
                  <w:pPr>
                    <w:spacing w:line="240" w:lineRule="auto"/>
                    <w:jc w:val="center"/>
                    <w:rPr>
                      <w:sz w:val="21"/>
                      <w:szCs w:val="21"/>
                    </w:rPr>
                  </w:pPr>
                  <w:r>
                    <w:rPr>
                      <w:rFonts w:hint="eastAsia"/>
                      <w:sz w:val="21"/>
                      <w:szCs w:val="21"/>
                      <w:lang w:val="pt-BR"/>
                    </w:rPr>
                    <w:t>加油、加气罩棚</w:t>
                  </w:r>
                </w:p>
              </w:tc>
              <w:tc>
                <w:tcPr>
                  <w:tcW w:w="2316" w:type="dxa"/>
                  <w:tcBorders>
                    <w:tl2br w:val="nil"/>
                    <w:tr2bl w:val="nil"/>
                  </w:tcBorders>
                  <w:vAlign w:val="center"/>
                </w:tcPr>
                <w:p>
                  <w:pPr>
                    <w:spacing w:line="240" w:lineRule="auto"/>
                    <w:jc w:val="center"/>
                    <w:rPr>
                      <w:sz w:val="21"/>
                      <w:szCs w:val="21"/>
                    </w:rPr>
                  </w:pPr>
                  <w:r>
                    <w:rPr>
                      <w:rFonts w:hint="eastAsia"/>
                      <w:sz w:val="21"/>
                      <w:szCs w:val="21"/>
                      <w:lang w:val="pt-BR"/>
                    </w:rPr>
                    <w:t>1座，建筑面积为</w:t>
                  </w:r>
                  <w:r>
                    <w:rPr>
                      <w:rFonts w:hint="eastAsia"/>
                      <w:sz w:val="21"/>
                      <w:szCs w:val="21"/>
                      <w:lang w:val="en-US" w:eastAsia="zh-CN"/>
                    </w:rPr>
                    <w:t>286</w:t>
                  </w:r>
                  <w:r>
                    <w:rPr>
                      <w:rFonts w:hint="eastAsia"/>
                      <w:sz w:val="21"/>
                      <w:szCs w:val="21"/>
                      <w:lang w:val="pt-BR"/>
                    </w:rPr>
                    <w:t>m</w:t>
                  </w:r>
                  <w:r>
                    <w:rPr>
                      <w:rFonts w:hint="eastAsia"/>
                      <w:sz w:val="21"/>
                      <w:szCs w:val="21"/>
                      <w:vertAlign w:val="superscript"/>
                      <w:lang w:val="pt-BR"/>
                    </w:rPr>
                    <w:t>2</w:t>
                  </w:r>
                </w:p>
              </w:tc>
              <w:tc>
                <w:tcPr>
                  <w:tcW w:w="2452" w:type="dxa"/>
                  <w:tcBorders>
                    <w:tl2br w:val="nil"/>
                    <w:tr2bl w:val="nil"/>
                  </w:tcBorders>
                  <w:vAlign w:val="center"/>
                </w:tcPr>
                <w:p>
                  <w:pPr>
                    <w:spacing w:line="240" w:lineRule="auto"/>
                    <w:jc w:val="center"/>
                    <w:rPr>
                      <w:sz w:val="21"/>
                      <w:szCs w:val="21"/>
                    </w:rPr>
                  </w:pPr>
                  <w:r>
                    <w:rPr>
                      <w:rFonts w:hint="eastAsia"/>
                      <w:sz w:val="21"/>
                      <w:szCs w:val="21"/>
                      <w:lang w:val="pt-BR"/>
                    </w:rPr>
                    <w:t>1座，建筑面积为</w:t>
                  </w:r>
                  <w:r>
                    <w:rPr>
                      <w:rFonts w:hint="eastAsia"/>
                      <w:sz w:val="21"/>
                      <w:szCs w:val="21"/>
                      <w:lang w:val="en-US" w:eastAsia="zh-CN"/>
                    </w:rPr>
                    <w:t>286</w:t>
                  </w:r>
                  <w:r>
                    <w:rPr>
                      <w:rFonts w:hint="eastAsia"/>
                      <w:sz w:val="21"/>
                      <w:szCs w:val="21"/>
                      <w:lang w:val="pt-BR"/>
                    </w:rPr>
                    <w:t>m</w:t>
                  </w:r>
                  <w:r>
                    <w:rPr>
                      <w:rFonts w:hint="eastAsia"/>
                      <w:sz w:val="21"/>
                      <w:szCs w:val="21"/>
                      <w:vertAlign w:val="superscript"/>
                      <w:lang w:val="pt-BR"/>
                    </w:rPr>
                    <w:t>2</w:t>
                  </w:r>
                </w:p>
              </w:tc>
              <w:tc>
                <w:tcPr>
                  <w:tcW w:w="921" w:type="dxa"/>
                  <w:vMerge w:val="continue"/>
                  <w:tcBorders>
                    <w:tl2br w:val="nil"/>
                    <w:tr2bl w:val="nil"/>
                  </w:tcBorders>
                  <w:vAlign w:val="center"/>
                </w:tcPr>
                <w:p>
                  <w:pPr>
                    <w:pStyle w:val="35"/>
                    <w:spacing w:line="240" w:lineRule="auto"/>
                    <w:rPr>
                      <w:sz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4" w:hRule="atLeast"/>
                <w:jc w:val="center"/>
              </w:trPr>
              <w:tc>
                <w:tcPr>
                  <w:tcW w:w="380" w:type="dxa"/>
                  <w:vMerge w:val="restart"/>
                  <w:tcBorders>
                    <w:tl2br w:val="nil"/>
                    <w:tr2bl w:val="nil"/>
                  </w:tcBorders>
                  <w:vAlign w:val="center"/>
                </w:tcPr>
                <w:p>
                  <w:pPr>
                    <w:pStyle w:val="35"/>
                    <w:rPr>
                      <w:sz w:val="21"/>
                    </w:rPr>
                  </w:pPr>
                  <w:r>
                    <w:rPr>
                      <w:rFonts w:hint="eastAsia"/>
                      <w:sz w:val="21"/>
                    </w:rPr>
                    <w:t>2</w:t>
                  </w:r>
                </w:p>
              </w:tc>
              <w:tc>
                <w:tcPr>
                  <w:tcW w:w="697" w:type="dxa"/>
                  <w:vMerge w:val="restart"/>
                  <w:tcBorders>
                    <w:tl2br w:val="nil"/>
                    <w:tr2bl w:val="nil"/>
                  </w:tcBorders>
                  <w:vAlign w:val="center"/>
                </w:tcPr>
                <w:p>
                  <w:pPr>
                    <w:pStyle w:val="35"/>
                    <w:spacing w:line="240" w:lineRule="auto"/>
                    <w:rPr>
                      <w:sz w:val="21"/>
                    </w:rPr>
                  </w:pPr>
                  <w:r>
                    <w:rPr>
                      <w:sz w:val="21"/>
                    </w:rPr>
                    <w:t>公用工程</w:t>
                  </w:r>
                </w:p>
              </w:tc>
              <w:tc>
                <w:tcPr>
                  <w:tcW w:w="1540" w:type="dxa"/>
                  <w:tcBorders>
                    <w:tl2br w:val="nil"/>
                    <w:tr2bl w:val="nil"/>
                  </w:tcBorders>
                  <w:vAlign w:val="center"/>
                </w:tcPr>
                <w:p>
                  <w:pPr>
                    <w:pStyle w:val="35"/>
                    <w:spacing w:line="240" w:lineRule="auto"/>
                    <w:rPr>
                      <w:sz w:val="21"/>
                    </w:rPr>
                  </w:pPr>
                  <w:r>
                    <w:rPr>
                      <w:sz w:val="21"/>
                    </w:rPr>
                    <w:t>供电</w:t>
                  </w:r>
                </w:p>
              </w:tc>
              <w:tc>
                <w:tcPr>
                  <w:tcW w:w="2316" w:type="dxa"/>
                  <w:tcBorders>
                    <w:tl2br w:val="nil"/>
                    <w:tr2bl w:val="nil"/>
                  </w:tcBorders>
                  <w:vAlign w:val="center"/>
                </w:tcPr>
                <w:p>
                  <w:pPr>
                    <w:spacing w:line="240" w:lineRule="auto"/>
                    <w:jc w:val="center"/>
                    <w:rPr>
                      <w:sz w:val="21"/>
                      <w:szCs w:val="21"/>
                    </w:rPr>
                  </w:pPr>
                  <w:r>
                    <w:rPr>
                      <w:rFonts w:hint="eastAsia"/>
                      <w:sz w:val="21"/>
                      <w:szCs w:val="21"/>
                      <w:lang w:val="pt-BR"/>
                    </w:rPr>
                    <w:t>当地自来水网统一供水</w:t>
                  </w:r>
                </w:p>
              </w:tc>
              <w:tc>
                <w:tcPr>
                  <w:tcW w:w="2452" w:type="dxa"/>
                  <w:tcBorders>
                    <w:tl2br w:val="nil"/>
                    <w:tr2bl w:val="nil"/>
                  </w:tcBorders>
                  <w:vAlign w:val="center"/>
                </w:tcPr>
                <w:p>
                  <w:pPr>
                    <w:spacing w:line="240" w:lineRule="auto"/>
                    <w:jc w:val="center"/>
                    <w:rPr>
                      <w:sz w:val="21"/>
                      <w:szCs w:val="21"/>
                    </w:rPr>
                  </w:pPr>
                  <w:r>
                    <w:rPr>
                      <w:rFonts w:hint="eastAsia"/>
                      <w:sz w:val="21"/>
                      <w:szCs w:val="21"/>
                      <w:lang w:val="pt-BR"/>
                    </w:rPr>
                    <w:t>当地自来水网统一供水</w:t>
                  </w:r>
                </w:p>
              </w:tc>
              <w:tc>
                <w:tcPr>
                  <w:tcW w:w="921" w:type="dxa"/>
                  <w:tcBorders>
                    <w:tl2br w:val="nil"/>
                    <w:tr2bl w:val="nil"/>
                  </w:tcBorders>
                  <w:vAlign w:val="center"/>
                </w:tcPr>
                <w:p>
                  <w:pPr>
                    <w:pStyle w:val="35"/>
                    <w:spacing w:line="240" w:lineRule="auto"/>
                    <w:rPr>
                      <w:sz w:val="21"/>
                    </w:rPr>
                  </w:pPr>
                  <w:r>
                    <w:rPr>
                      <w:sz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3" w:hRule="atLeast"/>
                <w:jc w:val="center"/>
              </w:trPr>
              <w:tc>
                <w:tcPr>
                  <w:tcW w:w="380" w:type="dxa"/>
                  <w:vMerge w:val="continue"/>
                  <w:tcBorders>
                    <w:tl2br w:val="nil"/>
                    <w:tr2bl w:val="nil"/>
                  </w:tcBorders>
                  <w:vAlign w:val="center"/>
                </w:tcPr>
                <w:p>
                  <w:pPr>
                    <w:pStyle w:val="35"/>
                    <w:rPr>
                      <w:sz w:val="21"/>
                    </w:rPr>
                  </w:pPr>
                </w:p>
              </w:tc>
              <w:tc>
                <w:tcPr>
                  <w:tcW w:w="697" w:type="dxa"/>
                  <w:vMerge w:val="continue"/>
                  <w:tcBorders>
                    <w:tl2br w:val="nil"/>
                    <w:tr2bl w:val="nil"/>
                  </w:tcBorders>
                  <w:vAlign w:val="center"/>
                </w:tcPr>
                <w:p>
                  <w:pPr>
                    <w:pStyle w:val="35"/>
                    <w:spacing w:line="240" w:lineRule="auto"/>
                    <w:rPr>
                      <w:sz w:val="21"/>
                    </w:rPr>
                  </w:pPr>
                </w:p>
              </w:tc>
              <w:tc>
                <w:tcPr>
                  <w:tcW w:w="1540" w:type="dxa"/>
                  <w:tcBorders>
                    <w:tl2br w:val="nil"/>
                    <w:tr2bl w:val="nil"/>
                  </w:tcBorders>
                  <w:vAlign w:val="center"/>
                </w:tcPr>
                <w:p>
                  <w:pPr>
                    <w:pStyle w:val="35"/>
                    <w:spacing w:line="240" w:lineRule="auto"/>
                    <w:rPr>
                      <w:sz w:val="21"/>
                    </w:rPr>
                  </w:pPr>
                  <w:r>
                    <w:rPr>
                      <w:sz w:val="21"/>
                    </w:rPr>
                    <w:t>供水</w:t>
                  </w:r>
                </w:p>
              </w:tc>
              <w:tc>
                <w:tcPr>
                  <w:tcW w:w="2316" w:type="dxa"/>
                  <w:tcBorders>
                    <w:tl2br w:val="nil"/>
                    <w:tr2bl w:val="nil"/>
                  </w:tcBorders>
                  <w:vAlign w:val="center"/>
                </w:tcPr>
                <w:p>
                  <w:pPr>
                    <w:spacing w:line="240" w:lineRule="auto"/>
                    <w:jc w:val="center"/>
                    <w:rPr>
                      <w:sz w:val="21"/>
                      <w:szCs w:val="21"/>
                    </w:rPr>
                  </w:pPr>
                  <w:r>
                    <w:rPr>
                      <w:rFonts w:hint="eastAsia"/>
                      <w:sz w:val="21"/>
                      <w:szCs w:val="21"/>
                      <w:lang w:val="pt-BR"/>
                    </w:rPr>
                    <w:t>当地电网统一供电</w:t>
                  </w:r>
                </w:p>
              </w:tc>
              <w:tc>
                <w:tcPr>
                  <w:tcW w:w="2452" w:type="dxa"/>
                  <w:tcBorders>
                    <w:tl2br w:val="nil"/>
                    <w:tr2bl w:val="nil"/>
                  </w:tcBorders>
                  <w:vAlign w:val="center"/>
                </w:tcPr>
                <w:p>
                  <w:pPr>
                    <w:spacing w:line="240" w:lineRule="auto"/>
                    <w:jc w:val="center"/>
                    <w:rPr>
                      <w:sz w:val="21"/>
                      <w:szCs w:val="21"/>
                    </w:rPr>
                  </w:pPr>
                  <w:r>
                    <w:rPr>
                      <w:rFonts w:hint="eastAsia"/>
                      <w:sz w:val="21"/>
                      <w:szCs w:val="21"/>
                      <w:lang w:val="pt-BR"/>
                    </w:rPr>
                    <w:t>当地电网统一供电</w:t>
                  </w:r>
                </w:p>
              </w:tc>
              <w:tc>
                <w:tcPr>
                  <w:tcW w:w="921" w:type="dxa"/>
                  <w:tcBorders>
                    <w:tl2br w:val="nil"/>
                    <w:tr2bl w:val="nil"/>
                  </w:tcBorders>
                  <w:vAlign w:val="center"/>
                </w:tcPr>
                <w:p>
                  <w:pPr>
                    <w:pStyle w:val="35"/>
                    <w:spacing w:line="240" w:lineRule="auto"/>
                    <w:rPr>
                      <w:sz w:val="21"/>
                    </w:rPr>
                  </w:pPr>
                  <w:r>
                    <w:rPr>
                      <w:sz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380" w:type="dxa"/>
                  <w:vMerge w:val="restart"/>
                  <w:tcBorders>
                    <w:tl2br w:val="nil"/>
                    <w:tr2bl w:val="nil"/>
                  </w:tcBorders>
                  <w:vAlign w:val="center"/>
                </w:tcPr>
                <w:p>
                  <w:pPr>
                    <w:pStyle w:val="35"/>
                    <w:rPr>
                      <w:sz w:val="21"/>
                    </w:rPr>
                  </w:pPr>
                  <w:r>
                    <w:rPr>
                      <w:rFonts w:hint="eastAsia"/>
                      <w:sz w:val="21"/>
                    </w:rPr>
                    <w:t>3</w:t>
                  </w:r>
                </w:p>
              </w:tc>
              <w:tc>
                <w:tcPr>
                  <w:tcW w:w="697" w:type="dxa"/>
                  <w:vMerge w:val="restart"/>
                  <w:tcBorders>
                    <w:tl2br w:val="nil"/>
                    <w:tr2bl w:val="nil"/>
                  </w:tcBorders>
                  <w:vAlign w:val="center"/>
                </w:tcPr>
                <w:p>
                  <w:pPr>
                    <w:pStyle w:val="35"/>
                    <w:spacing w:line="240" w:lineRule="auto"/>
                    <w:rPr>
                      <w:sz w:val="21"/>
                    </w:rPr>
                  </w:pPr>
                  <w:r>
                    <w:rPr>
                      <w:sz w:val="21"/>
                    </w:rPr>
                    <w:t>环保工程</w:t>
                  </w:r>
                </w:p>
              </w:tc>
              <w:tc>
                <w:tcPr>
                  <w:tcW w:w="1540" w:type="dxa"/>
                  <w:tcBorders>
                    <w:tl2br w:val="nil"/>
                    <w:tr2bl w:val="nil"/>
                  </w:tcBorders>
                  <w:vAlign w:val="center"/>
                </w:tcPr>
                <w:p>
                  <w:pPr>
                    <w:spacing w:line="240" w:lineRule="auto"/>
                    <w:jc w:val="center"/>
                    <w:rPr>
                      <w:sz w:val="21"/>
                      <w:szCs w:val="21"/>
                    </w:rPr>
                  </w:pPr>
                  <w:r>
                    <w:rPr>
                      <w:rFonts w:hint="eastAsia"/>
                      <w:sz w:val="21"/>
                      <w:szCs w:val="21"/>
                      <w:lang w:val="pt-BR"/>
                    </w:rPr>
                    <w:t>化粪池</w:t>
                  </w:r>
                </w:p>
              </w:tc>
              <w:tc>
                <w:tcPr>
                  <w:tcW w:w="2316" w:type="dxa"/>
                  <w:tcBorders>
                    <w:tl2br w:val="nil"/>
                    <w:tr2bl w:val="nil"/>
                  </w:tcBorders>
                  <w:vAlign w:val="center"/>
                </w:tcPr>
                <w:p>
                  <w:pPr>
                    <w:spacing w:line="240" w:lineRule="auto"/>
                    <w:jc w:val="center"/>
                    <w:rPr>
                      <w:sz w:val="21"/>
                      <w:szCs w:val="21"/>
                    </w:rPr>
                  </w:pPr>
                  <w:r>
                    <w:rPr>
                      <w:rFonts w:hint="eastAsia"/>
                      <w:sz w:val="21"/>
                      <w:szCs w:val="21"/>
                      <w:lang w:val="pt-BR"/>
                    </w:rPr>
                    <w:t>1座</w:t>
                  </w:r>
                </w:p>
              </w:tc>
              <w:tc>
                <w:tcPr>
                  <w:tcW w:w="2452" w:type="dxa"/>
                  <w:tcBorders>
                    <w:tl2br w:val="nil"/>
                    <w:tr2bl w:val="nil"/>
                  </w:tcBorders>
                  <w:vAlign w:val="center"/>
                </w:tcPr>
                <w:p>
                  <w:pPr>
                    <w:spacing w:line="240" w:lineRule="auto"/>
                    <w:jc w:val="center"/>
                    <w:rPr>
                      <w:sz w:val="21"/>
                      <w:szCs w:val="21"/>
                    </w:rPr>
                  </w:pPr>
                  <w:r>
                    <w:rPr>
                      <w:rFonts w:hint="eastAsia"/>
                      <w:sz w:val="21"/>
                      <w:szCs w:val="21"/>
                      <w:lang w:val="pt-BR"/>
                    </w:rPr>
                    <w:t>1座</w:t>
                  </w:r>
                </w:p>
              </w:tc>
              <w:tc>
                <w:tcPr>
                  <w:tcW w:w="921" w:type="dxa"/>
                  <w:tcBorders>
                    <w:tl2br w:val="nil"/>
                    <w:tr2bl w:val="nil"/>
                  </w:tcBorders>
                  <w:vAlign w:val="center"/>
                </w:tcPr>
                <w:p>
                  <w:pPr>
                    <w:pStyle w:val="35"/>
                    <w:spacing w:line="240" w:lineRule="auto"/>
                    <w:rPr>
                      <w:sz w:val="21"/>
                    </w:rPr>
                  </w:pPr>
                  <w:r>
                    <w:rPr>
                      <w:sz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3" w:hRule="atLeast"/>
                <w:jc w:val="center"/>
              </w:trPr>
              <w:tc>
                <w:tcPr>
                  <w:tcW w:w="380" w:type="dxa"/>
                  <w:vMerge w:val="continue"/>
                  <w:tcBorders>
                    <w:tl2br w:val="nil"/>
                    <w:tr2bl w:val="nil"/>
                  </w:tcBorders>
                  <w:vAlign w:val="center"/>
                </w:tcPr>
                <w:p>
                  <w:pPr>
                    <w:pStyle w:val="35"/>
                    <w:rPr>
                      <w:sz w:val="21"/>
                    </w:rPr>
                  </w:pPr>
                </w:p>
              </w:tc>
              <w:tc>
                <w:tcPr>
                  <w:tcW w:w="697" w:type="dxa"/>
                  <w:vMerge w:val="continue"/>
                  <w:tcBorders>
                    <w:tl2br w:val="nil"/>
                    <w:tr2bl w:val="nil"/>
                  </w:tcBorders>
                  <w:vAlign w:val="center"/>
                </w:tcPr>
                <w:p>
                  <w:pPr>
                    <w:pStyle w:val="35"/>
                    <w:spacing w:line="240" w:lineRule="auto"/>
                    <w:rPr>
                      <w:sz w:val="21"/>
                    </w:rPr>
                  </w:pPr>
                </w:p>
              </w:tc>
              <w:tc>
                <w:tcPr>
                  <w:tcW w:w="1540" w:type="dxa"/>
                  <w:tcBorders>
                    <w:tl2br w:val="nil"/>
                    <w:tr2bl w:val="nil"/>
                  </w:tcBorders>
                  <w:vAlign w:val="center"/>
                </w:tcPr>
                <w:p>
                  <w:pPr>
                    <w:spacing w:line="240" w:lineRule="auto"/>
                    <w:jc w:val="center"/>
                    <w:rPr>
                      <w:sz w:val="21"/>
                      <w:szCs w:val="21"/>
                    </w:rPr>
                  </w:pPr>
                  <w:r>
                    <w:rPr>
                      <w:rFonts w:hint="eastAsia"/>
                      <w:sz w:val="21"/>
                      <w:szCs w:val="21"/>
                      <w:lang w:val="pt-BR"/>
                    </w:rPr>
                    <w:t>油气回收系统</w:t>
                  </w:r>
                </w:p>
              </w:tc>
              <w:tc>
                <w:tcPr>
                  <w:tcW w:w="2316" w:type="dxa"/>
                  <w:tcBorders>
                    <w:tl2br w:val="nil"/>
                    <w:tr2bl w:val="nil"/>
                  </w:tcBorders>
                  <w:vAlign w:val="center"/>
                </w:tcPr>
                <w:p>
                  <w:pPr>
                    <w:spacing w:line="240" w:lineRule="auto"/>
                    <w:jc w:val="center"/>
                    <w:rPr>
                      <w:sz w:val="21"/>
                      <w:szCs w:val="21"/>
                    </w:rPr>
                  </w:pPr>
                  <w:r>
                    <w:rPr>
                      <w:rFonts w:hint="eastAsia"/>
                      <w:sz w:val="21"/>
                      <w:szCs w:val="21"/>
                      <w:lang w:val="pt-BR"/>
                    </w:rPr>
                    <w:t>汽油油气回收系统</w:t>
                  </w:r>
                  <w:r>
                    <w:rPr>
                      <w:rFonts w:hint="eastAsia"/>
                      <w:sz w:val="21"/>
                      <w:szCs w:val="21"/>
                      <w:lang w:val="en-US" w:eastAsia="zh-CN"/>
                    </w:rPr>
                    <w:t>2</w:t>
                  </w:r>
                  <w:r>
                    <w:rPr>
                      <w:rFonts w:hint="eastAsia"/>
                      <w:sz w:val="21"/>
                      <w:szCs w:val="21"/>
                      <w:lang w:val="pt-BR"/>
                    </w:rPr>
                    <w:t>套</w:t>
                  </w:r>
                </w:p>
              </w:tc>
              <w:tc>
                <w:tcPr>
                  <w:tcW w:w="2452" w:type="dxa"/>
                  <w:tcBorders>
                    <w:tl2br w:val="nil"/>
                    <w:tr2bl w:val="nil"/>
                  </w:tcBorders>
                  <w:vAlign w:val="center"/>
                </w:tcPr>
                <w:p>
                  <w:pPr>
                    <w:spacing w:line="240" w:lineRule="auto"/>
                    <w:jc w:val="center"/>
                    <w:rPr>
                      <w:sz w:val="21"/>
                      <w:szCs w:val="21"/>
                    </w:rPr>
                  </w:pPr>
                  <w:r>
                    <w:rPr>
                      <w:rFonts w:hint="eastAsia"/>
                      <w:sz w:val="21"/>
                      <w:szCs w:val="21"/>
                      <w:lang w:val="pt-BR"/>
                    </w:rPr>
                    <w:t>汽油油气回收系统</w:t>
                  </w:r>
                  <w:r>
                    <w:rPr>
                      <w:rFonts w:hint="eastAsia"/>
                      <w:sz w:val="21"/>
                      <w:szCs w:val="21"/>
                      <w:lang w:val="en-US" w:eastAsia="zh-CN"/>
                    </w:rPr>
                    <w:t>6</w:t>
                  </w:r>
                  <w:r>
                    <w:rPr>
                      <w:rFonts w:hint="eastAsia"/>
                      <w:sz w:val="21"/>
                      <w:szCs w:val="21"/>
                      <w:lang w:val="pt-BR"/>
                    </w:rPr>
                    <w:t>套</w:t>
                  </w:r>
                </w:p>
              </w:tc>
              <w:tc>
                <w:tcPr>
                  <w:tcW w:w="921" w:type="dxa"/>
                  <w:tcBorders>
                    <w:tl2br w:val="nil"/>
                    <w:tr2bl w:val="nil"/>
                  </w:tcBorders>
                  <w:vAlign w:val="center"/>
                </w:tcPr>
                <w:p>
                  <w:pPr>
                    <w:pStyle w:val="35"/>
                    <w:spacing w:line="240" w:lineRule="auto"/>
                    <w:rPr>
                      <w:rFonts w:hint="default" w:eastAsia="宋体"/>
                      <w:sz w:val="21"/>
                      <w:lang w:val="en-US" w:eastAsia="zh-CN"/>
                    </w:rPr>
                  </w:pPr>
                  <w:r>
                    <w:rPr>
                      <w:rFonts w:hint="eastAsia"/>
                      <w:sz w:val="21"/>
                      <w:lang w:val="en-US" w:eastAsia="zh-CN"/>
                    </w:rPr>
                    <w:t>升级</w:t>
                  </w:r>
                </w:p>
              </w:tc>
            </w:tr>
          </w:tbl>
          <w:p>
            <w:r>
              <w:t>4、工程主要设备：</w:t>
            </w:r>
          </w:p>
          <w:p>
            <w:pPr>
              <w:pStyle w:val="32"/>
              <w:ind w:firstLine="480"/>
            </w:pPr>
            <w:r>
              <w:t>表</w:t>
            </w:r>
            <w:r>
              <w:rPr>
                <w:rFonts w:hint="eastAsia"/>
              </w:rPr>
              <w:t xml:space="preserve">5                       </w:t>
            </w:r>
            <w:r>
              <w:t>项目设备一览表</w:t>
            </w:r>
          </w:p>
          <w:tbl>
            <w:tblPr>
              <w:tblStyle w:val="15"/>
              <w:tblW w:w="8307"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1700"/>
              <w:gridCol w:w="1798"/>
              <w:gridCol w:w="805"/>
              <w:gridCol w:w="1463"/>
              <w:gridCol w:w="937"/>
              <w:gridCol w:w="92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684" w:type="dxa"/>
                  <w:vMerge w:val="restart"/>
                  <w:tcBorders>
                    <w:tl2br w:val="nil"/>
                    <w:tr2bl w:val="nil"/>
                  </w:tcBorders>
                  <w:vAlign w:val="center"/>
                </w:tcPr>
                <w:p>
                  <w:pPr>
                    <w:pStyle w:val="35"/>
                    <w:rPr>
                      <w:b/>
                      <w:bCs/>
                      <w:sz w:val="21"/>
                    </w:rPr>
                  </w:pPr>
                  <w:r>
                    <w:rPr>
                      <w:b/>
                      <w:bCs/>
                      <w:sz w:val="21"/>
                    </w:rPr>
                    <w:t>序号</w:t>
                  </w:r>
                </w:p>
              </w:tc>
              <w:tc>
                <w:tcPr>
                  <w:tcW w:w="1700" w:type="dxa"/>
                  <w:vMerge w:val="restart"/>
                  <w:tcBorders>
                    <w:tl2br w:val="nil"/>
                    <w:tr2bl w:val="nil"/>
                  </w:tcBorders>
                  <w:vAlign w:val="center"/>
                </w:tcPr>
                <w:p>
                  <w:pPr>
                    <w:pStyle w:val="35"/>
                    <w:rPr>
                      <w:b/>
                      <w:bCs/>
                      <w:sz w:val="21"/>
                    </w:rPr>
                  </w:pPr>
                  <w:r>
                    <w:rPr>
                      <w:b/>
                      <w:bCs/>
                      <w:sz w:val="21"/>
                    </w:rPr>
                    <w:t>设备名称</w:t>
                  </w:r>
                </w:p>
              </w:tc>
              <w:tc>
                <w:tcPr>
                  <w:tcW w:w="2603" w:type="dxa"/>
                  <w:gridSpan w:val="2"/>
                  <w:tcBorders>
                    <w:tl2br w:val="nil"/>
                    <w:tr2bl w:val="nil"/>
                  </w:tcBorders>
                  <w:vAlign w:val="center"/>
                </w:tcPr>
                <w:p>
                  <w:pPr>
                    <w:pStyle w:val="35"/>
                    <w:rPr>
                      <w:b/>
                      <w:bCs/>
                      <w:sz w:val="21"/>
                    </w:rPr>
                  </w:pPr>
                  <w:r>
                    <w:rPr>
                      <w:b/>
                      <w:bCs/>
                      <w:sz w:val="21"/>
                    </w:rPr>
                    <w:t>环评批复</w:t>
                  </w:r>
                </w:p>
              </w:tc>
              <w:tc>
                <w:tcPr>
                  <w:tcW w:w="2400" w:type="dxa"/>
                  <w:gridSpan w:val="2"/>
                  <w:tcBorders>
                    <w:tl2br w:val="nil"/>
                    <w:tr2bl w:val="nil"/>
                  </w:tcBorders>
                  <w:vAlign w:val="center"/>
                </w:tcPr>
                <w:p>
                  <w:pPr>
                    <w:pStyle w:val="35"/>
                    <w:rPr>
                      <w:b/>
                      <w:bCs/>
                      <w:sz w:val="21"/>
                    </w:rPr>
                  </w:pPr>
                  <w:r>
                    <w:rPr>
                      <w:b/>
                      <w:bCs/>
                      <w:sz w:val="21"/>
                    </w:rPr>
                    <w:t>实际建设</w:t>
                  </w:r>
                </w:p>
              </w:tc>
              <w:tc>
                <w:tcPr>
                  <w:tcW w:w="920" w:type="dxa"/>
                  <w:vMerge w:val="restart"/>
                  <w:tcBorders>
                    <w:tl2br w:val="nil"/>
                    <w:tr2bl w:val="nil"/>
                  </w:tcBorders>
                  <w:vAlign w:val="center"/>
                </w:tcPr>
                <w:p>
                  <w:pPr>
                    <w:pStyle w:val="35"/>
                    <w:rPr>
                      <w:b/>
                      <w:bCs/>
                      <w:sz w:val="21"/>
                    </w:rPr>
                  </w:pPr>
                  <w:r>
                    <w:rPr>
                      <w:b/>
                      <w:bCs/>
                      <w:sz w:val="21"/>
                    </w:rPr>
                    <w:t>一致性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pPr>
                    <w:pStyle w:val="35"/>
                    <w:rPr>
                      <w:sz w:val="21"/>
                    </w:rPr>
                  </w:pPr>
                </w:p>
              </w:tc>
              <w:tc>
                <w:tcPr>
                  <w:tcW w:w="1700" w:type="dxa"/>
                  <w:vMerge w:val="continue"/>
                  <w:tcBorders>
                    <w:tl2br w:val="nil"/>
                    <w:tr2bl w:val="nil"/>
                  </w:tcBorders>
                  <w:vAlign w:val="center"/>
                </w:tcPr>
                <w:p>
                  <w:pPr>
                    <w:pStyle w:val="35"/>
                    <w:rPr>
                      <w:sz w:val="21"/>
                    </w:rPr>
                  </w:pPr>
                </w:p>
              </w:tc>
              <w:tc>
                <w:tcPr>
                  <w:tcW w:w="1798" w:type="dxa"/>
                  <w:tcBorders>
                    <w:tl2br w:val="nil"/>
                    <w:tr2bl w:val="nil"/>
                  </w:tcBorders>
                  <w:vAlign w:val="center"/>
                </w:tcPr>
                <w:p>
                  <w:pPr>
                    <w:pStyle w:val="35"/>
                    <w:rPr>
                      <w:sz w:val="21"/>
                    </w:rPr>
                  </w:pPr>
                  <w:r>
                    <w:rPr>
                      <w:sz w:val="21"/>
                    </w:rPr>
                    <w:t>型号</w:t>
                  </w:r>
                </w:p>
              </w:tc>
              <w:tc>
                <w:tcPr>
                  <w:tcW w:w="805" w:type="dxa"/>
                  <w:tcBorders>
                    <w:tl2br w:val="nil"/>
                    <w:tr2bl w:val="nil"/>
                  </w:tcBorders>
                  <w:vAlign w:val="center"/>
                </w:tcPr>
                <w:p>
                  <w:pPr>
                    <w:pStyle w:val="35"/>
                    <w:rPr>
                      <w:sz w:val="21"/>
                    </w:rPr>
                  </w:pPr>
                  <w:r>
                    <w:rPr>
                      <w:sz w:val="21"/>
                    </w:rPr>
                    <w:t>数量</w:t>
                  </w:r>
                </w:p>
              </w:tc>
              <w:tc>
                <w:tcPr>
                  <w:tcW w:w="1463" w:type="dxa"/>
                  <w:tcBorders>
                    <w:tl2br w:val="nil"/>
                    <w:tr2bl w:val="nil"/>
                  </w:tcBorders>
                  <w:vAlign w:val="center"/>
                </w:tcPr>
                <w:p>
                  <w:pPr>
                    <w:pStyle w:val="35"/>
                    <w:rPr>
                      <w:sz w:val="21"/>
                    </w:rPr>
                  </w:pPr>
                  <w:r>
                    <w:rPr>
                      <w:sz w:val="21"/>
                    </w:rPr>
                    <w:t>型号</w:t>
                  </w:r>
                </w:p>
              </w:tc>
              <w:tc>
                <w:tcPr>
                  <w:tcW w:w="937" w:type="dxa"/>
                  <w:tcBorders>
                    <w:tl2br w:val="nil"/>
                    <w:tr2bl w:val="nil"/>
                  </w:tcBorders>
                  <w:vAlign w:val="center"/>
                </w:tcPr>
                <w:p>
                  <w:pPr>
                    <w:pStyle w:val="35"/>
                    <w:rPr>
                      <w:sz w:val="21"/>
                    </w:rPr>
                  </w:pPr>
                  <w:r>
                    <w:rPr>
                      <w:sz w:val="21"/>
                    </w:rPr>
                    <w:t>数量</w:t>
                  </w:r>
                </w:p>
              </w:tc>
              <w:tc>
                <w:tcPr>
                  <w:tcW w:w="920" w:type="dxa"/>
                  <w:vMerge w:val="continue"/>
                  <w:tcBorders>
                    <w:tl2br w:val="nil"/>
                    <w:tr2bl w:val="nil"/>
                  </w:tcBorders>
                  <w:vAlign w:val="center"/>
                </w:tcPr>
                <w:p>
                  <w:pPr>
                    <w:pStyle w:val="35"/>
                    <w:rPr>
                      <w:sz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1</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CNG压缩机</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进气压力：3～20.0MPa,排气压力：22.0～25.0MPa，排气量：1000Nm</w:t>
                  </w:r>
                  <w:r>
                    <w:rPr>
                      <w:rFonts w:hint="eastAsia"/>
                      <w:color w:val="auto"/>
                      <w:kern w:val="0"/>
                      <w:sz w:val="21"/>
                      <w:szCs w:val="21"/>
                      <w:vertAlign w:val="superscript"/>
                    </w:rPr>
                    <w:t>3</w:t>
                  </w:r>
                  <w:r>
                    <w:rPr>
                      <w:rFonts w:hint="eastAsia"/>
                      <w:color w:val="auto"/>
                      <w:kern w:val="0"/>
                      <w:sz w:val="21"/>
                      <w:szCs w:val="21"/>
                    </w:rPr>
                    <w:t>/h</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1</w:t>
                  </w:r>
                </w:p>
              </w:tc>
              <w:tc>
                <w:tcPr>
                  <w:tcW w:w="1463" w:type="dxa"/>
                  <w:tcBorders>
                    <w:tl2br w:val="nil"/>
                    <w:tr2bl w:val="nil"/>
                  </w:tcBorders>
                  <w:vAlign w:val="center"/>
                </w:tcPr>
                <w:p>
                  <w:pPr>
                    <w:jc w:val="center"/>
                    <w:rPr>
                      <w:sz w:val="21"/>
                      <w:szCs w:val="21"/>
                      <w:lang w:eastAsia="zh-Hans"/>
                    </w:rPr>
                  </w:pPr>
                  <w:r>
                    <w:rPr>
                      <w:sz w:val="21"/>
                      <w:szCs w:val="21"/>
                      <w:lang w:eastAsia="zh-Hans"/>
                    </w:rPr>
                    <w:t>/</w:t>
                  </w:r>
                </w:p>
              </w:tc>
              <w:tc>
                <w:tcPr>
                  <w:tcW w:w="937" w:type="dxa"/>
                  <w:tcBorders>
                    <w:tl2br w:val="nil"/>
                    <w:tr2bl w:val="nil"/>
                  </w:tcBorders>
                  <w:vAlign w:val="center"/>
                </w:tcPr>
                <w:p>
                  <w:pPr>
                    <w:jc w:val="center"/>
                    <w:rPr>
                      <w:sz w:val="21"/>
                      <w:szCs w:val="21"/>
                    </w:rPr>
                  </w:pPr>
                  <w:r>
                    <w:rPr>
                      <w:sz w:val="21"/>
                      <w:szCs w:val="21"/>
                      <w:lang w:eastAsia="zh-Hans"/>
                    </w:rPr>
                    <w:t>/</w:t>
                  </w:r>
                </w:p>
              </w:tc>
              <w:tc>
                <w:tcPr>
                  <w:tcW w:w="920" w:type="dxa"/>
                  <w:vMerge w:val="restart"/>
                  <w:tcBorders>
                    <w:tl2br w:val="nil"/>
                    <w:tr2bl w:val="nil"/>
                  </w:tcBorders>
                  <w:vAlign w:val="center"/>
                </w:tcPr>
                <w:p>
                  <w:pPr>
                    <w:pStyle w:val="35"/>
                    <w:rPr>
                      <w:sz w:val="21"/>
                      <w:lang w:eastAsia="zh-Hans"/>
                    </w:rPr>
                  </w:pPr>
                  <w:r>
                    <w:rPr>
                      <w:rFonts w:hint="eastAsia"/>
                      <w:sz w:val="21"/>
                      <w:lang w:eastAsia="zh-Hans"/>
                    </w:rPr>
                    <w:t>加气</w:t>
                  </w:r>
                  <w:r>
                    <w:rPr>
                      <w:rFonts w:hint="eastAsia"/>
                      <w:sz w:val="21"/>
                      <w:lang w:val="en-US" w:eastAsia="zh-Hans"/>
                    </w:rPr>
                    <w:t>和柴油</w:t>
                  </w:r>
                  <w:r>
                    <w:rPr>
                      <w:rFonts w:hint="eastAsia"/>
                      <w:sz w:val="21"/>
                      <w:lang w:eastAsia="zh-Hans"/>
                    </w:rPr>
                    <w:t>业务取消，该设备未进行建设</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2</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CNG三线双枪加气机</w:t>
                  </w:r>
                </w:p>
              </w:tc>
              <w:tc>
                <w:tcPr>
                  <w:tcW w:w="1798" w:type="dxa"/>
                  <w:tcBorders>
                    <w:tl2br w:val="nil"/>
                    <w:tr2bl w:val="nil"/>
                  </w:tcBorders>
                  <w:vAlign w:val="center"/>
                </w:tcPr>
                <w:p>
                  <w:pPr>
                    <w:widowControl/>
                    <w:spacing w:line="240" w:lineRule="auto"/>
                    <w:jc w:val="center"/>
                    <w:rPr>
                      <w:color w:val="auto"/>
                      <w:kern w:val="0"/>
                      <w:sz w:val="21"/>
                      <w:szCs w:val="21"/>
                    </w:rPr>
                  </w:pPr>
                  <w:r>
                    <w:rPr>
                      <w:rFonts w:hint="eastAsia"/>
                      <w:color w:val="auto"/>
                      <w:kern w:val="0"/>
                      <w:sz w:val="21"/>
                      <w:szCs w:val="21"/>
                    </w:rPr>
                    <w:t>额定工作压力：20MPa；</w:t>
                  </w:r>
                </w:p>
                <w:p>
                  <w:pPr>
                    <w:widowControl/>
                    <w:spacing w:line="240" w:lineRule="auto"/>
                    <w:jc w:val="center"/>
                    <w:rPr>
                      <w:sz w:val="21"/>
                      <w:szCs w:val="21"/>
                    </w:rPr>
                  </w:pPr>
                  <w:r>
                    <w:rPr>
                      <w:rFonts w:hint="eastAsia"/>
                      <w:color w:val="auto"/>
                      <w:kern w:val="0"/>
                      <w:sz w:val="21"/>
                      <w:szCs w:val="21"/>
                    </w:rPr>
                    <w:t>流量≤0.25m</w:t>
                  </w:r>
                  <w:r>
                    <w:rPr>
                      <w:rFonts w:hint="eastAsia"/>
                      <w:color w:val="auto"/>
                      <w:kern w:val="0"/>
                      <w:sz w:val="21"/>
                      <w:szCs w:val="21"/>
                      <w:vertAlign w:val="superscript"/>
                    </w:rPr>
                    <w:t>3</w:t>
                  </w:r>
                  <w:r>
                    <w:rPr>
                      <w:rFonts w:hint="eastAsia"/>
                      <w:color w:val="auto"/>
                      <w:kern w:val="0"/>
                      <w:sz w:val="21"/>
                      <w:szCs w:val="21"/>
                    </w:rPr>
                    <w:t>/min（工作状态）；计量精度1.0级</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2</w:t>
                  </w:r>
                </w:p>
              </w:tc>
              <w:tc>
                <w:tcPr>
                  <w:tcW w:w="1463" w:type="dxa"/>
                  <w:tcBorders>
                    <w:tl2br w:val="nil"/>
                    <w:tr2bl w:val="nil"/>
                  </w:tcBorders>
                  <w:vAlign w:val="center"/>
                </w:tcPr>
                <w:p>
                  <w:pPr>
                    <w:jc w:val="center"/>
                    <w:rPr>
                      <w:sz w:val="21"/>
                      <w:szCs w:val="21"/>
                    </w:rPr>
                  </w:pPr>
                  <w:r>
                    <w:rPr>
                      <w:sz w:val="21"/>
                      <w:szCs w:val="21"/>
                      <w:lang w:eastAsia="zh-Hans"/>
                    </w:rPr>
                    <w:t>/</w:t>
                  </w:r>
                </w:p>
              </w:tc>
              <w:tc>
                <w:tcPr>
                  <w:tcW w:w="937" w:type="dxa"/>
                  <w:tcBorders>
                    <w:tl2br w:val="nil"/>
                    <w:tr2bl w:val="nil"/>
                  </w:tcBorders>
                  <w:vAlign w:val="center"/>
                </w:tcPr>
                <w:p>
                  <w:pPr>
                    <w:jc w:val="center"/>
                    <w:rPr>
                      <w:sz w:val="21"/>
                      <w:szCs w:val="21"/>
                    </w:rPr>
                  </w:pPr>
                  <w:r>
                    <w:rPr>
                      <w:sz w:val="21"/>
                      <w:szCs w:val="21"/>
                      <w:lang w:eastAsia="zh-Hans"/>
                    </w:rPr>
                    <w:t>/</w:t>
                  </w:r>
                </w:p>
              </w:tc>
              <w:tc>
                <w:tcPr>
                  <w:tcW w:w="920" w:type="dxa"/>
                  <w:vMerge w:val="continue"/>
                  <w:tcBorders>
                    <w:tl2br w:val="nil"/>
                    <w:tr2bl w:val="nil"/>
                  </w:tcBorders>
                  <w:vAlign w:val="center"/>
                </w:tcPr>
                <w:p>
                  <w:pPr>
                    <w:pStyle w:val="35"/>
                    <w:rPr>
                      <w:sz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3</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CNG储气瓶组</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总水容积6m</w:t>
                  </w:r>
                  <w:r>
                    <w:rPr>
                      <w:rFonts w:hint="eastAsia"/>
                      <w:color w:val="auto"/>
                      <w:kern w:val="0"/>
                      <w:sz w:val="21"/>
                      <w:szCs w:val="21"/>
                      <w:vertAlign w:val="superscript"/>
                    </w:rPr>
                    <w:t>3</w:t>
                  </w:r>
                  <w:r>
                    <w:rPr>
                      <w:rFonts w:hint="eastAsia"/>
                      <w:color w:val="auto"/>
                      <w:kern w:val="0"/>
                      <w:sz w:val="21"/>
                      <w:szCs w:val="21"/>
                    </w:rPr>
                    <w:t>；最大工作压力：25MPa设计压力：27.5MPa</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1</w:t>
                  </w:r>
                </w:p>
              </w:tc>
              <w:tc>
                <w:tcPr>
                  <w:tcW w:w="1463" w:type="dxa"/>
                  <w:tcBorders>
                    <w:tl2br w:val="nil"/>
                    <w:tr2bl w:val="nil"/>
                  </w:tcBorders>
                  <w:vAlign w:val="center"/>
                </w:tcPr>
                <w:p>
                  <w:pPr>
                    <w:jc w:val="center"/>
                    <w:rPr>
                      <w:sz w:val="21"/>
                      <w:szCs w:val="21"/>
                    </w:rPr>
                  </w:pPr>
                  <w:r>
                    <w:rPr>
                      <w:sz w:val="21"/>
                      <w:szCs w:val="21"/>
                      <w:lang w:eastAsia="zh-Hans"/>
                    </w:rPr>
                    <w:t>/</w:t>
                  </w:r>
                </w:p>
              </w:tc>
              <w:tc>
                <w:tcPr>
                  <w:tcW w:w="937" w:type="dxa"/>
                  <w:tcBorders>
                    <w:tl2br w:val="nil"/>
                    <w:tr2bl w:val="nil"/>
                  </w:tcBorders>
                  <w:vAlign w:val="center"/>
                </w:tcPr>
                <w:p>
                  <w:pPr>
                    <w:jc w:val="center"/>
                    <w:rPr>
                      <w:sz w:val="21"/>
                      <w:szCs w:val="21"/>
                    </w:rPr>
                  </w:pPr>
                  <w:r>
                    <w:rPr>
                      <w:sz w:val="21"/>
                      <w:szCs w:val="21"/>
                      <w:lang w:eastAsia="zh-Hans"/>
                    </w:rPr>
                    <w:t>/</w:t>
                  </w:r>
                </w:p>
              </w:tc>
              <w:tc>
                <w:tcPr>
                  <w:tcW w:w="920" w:type="dxa"/>
                  <w:vMerge w:val="continue"/>
                  <w:tcBorders>
                    <w:tl2br w:val="nil"/>
                    <w:tr2bl w:val="nil"/>
                  </w:tcBorders>
                  <w:vAlign w:val="center"/>
                </w:tcPr>
                <w:p>
                  <w:pPr>
                    <w:pStyle w:val="35"/>
                    <w:rPr>
                      <w:sz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4</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CNG卸气柱</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流量≤0.5m</w:t>
                  </w:r>
                  <w:r>
                    <w:rPr>
                      <w:rFonts w:hint="eastAsia"/>
                      <w:color w:val="auto"/>
                      <w:kern w:val="0"/>
                      <w:sz w:val="21"/>
                      <w:szCs w:val="21"/>
                      <w:vertAlign w:val="superscript"/>
                    </w:rPr>
                    <w:t>3</w:t>
                  </w:r>
                  <w:r>
                    <w:rPr>
                      <w:rFonts w:hint="eastAsia"/>
                      <w:color w:val="auto"/>
                      <w:kern w:val="0"/>
                      <w:sz w:val="21"/>
                      <w:szCs w:val="21"/>
                    </w:rPr>
                    <w:t>/min（工作状态）；额定工作压力：20MPa</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1</w:t>
                  </w:r>
                </w:p>
              </w:tc>
              <w:tc>
                <w:tcPr>
                  <w:tcW w:w="1463" w:type="dxa"/>
                  <w:tcBorders>
                    <w:tl2br w:val="nil"/>
                    <w:tr2bl w:val="nil"/>
                  </w:tcBorders>
                  <w:vAlign w:val="center"/>
                </w:tcPr>
                <w:p>
                  <w:pPr>
                    <w:jc w:val="center"/>
                    <w:rPr>
                      <w:sz w:val="21"/>
                      <w:szCs w:val="21"/>
                    </w:rPr>
                  </w:pPr>
                  <w:r>
                    <w:rPr>
                      <w:sz w:val="21"/>
                      <w:szCs w:val="21"/>
                      <w:lang w:eastAsia="zh-Hans"/>
                    </w:rPr>
                    <w:t>/</w:t>
                  </w:r>
                </w:p>
              </w:tc>
              <w:tc>
                <w:tcPr>
                  <w:tcW w:w="937" w:type="dxa"/>
                  <w:tcBorders>
                    <w:tl2br w:val="nil"/>
                    <w:tr2bl w:val="nil"/>
                  </w:tcBorders>
                  <w:vAlign w:val="center"/>
                </w:tcPr>
                <w:p>
                  <w:pPr>
                    <w:jc w:val="center"/>
                    <w:rPr>
                      <w:sz w:val="21"/>
                      <w:szCs w:val="21"/>
                    </w:rPr>
                  </w:pPr>
                  <w:r>
                    <w:rPr>
                      <w:sz w:val="21"/>
                      <w:szCs w:val="21"/>
                      <w:lang w:eastAsia="zh-Hans"/>
                    </w:rPr>
                    <w:t>/</w:t>
                  </w:r>
                </w:p>
              </w:tc>
              <w:tc>
                <w:tcPr>
                  <w:tcW w:w="920" w:type="dxa"/>
                  <w:vMerge w:val="continue"/>
                  <w:tcBorders>
                    <w:tl2br w:val="nil"/>
                    <w:tr2bl w:val="nil"/>
                  </w:tcBorders>
                  <w:vAlign w:val="center"/>
                </w:tcPr>
                <w:p>
                  <w:pPr>
                    <w:pStyle w:val="35"/>
                    <w:rPr>
                      <w:sz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5</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CNG放散管</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DN100/80</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1</w:t>
                  </w:r>
                </w:p>
              </w:tc>
              <w:tc>
                <w:tcPr>
                  <w:tcW w:w="1463" w:type="dxa"/>
                  <w:tcBorders>
                    <w:tl2br w:val="nil"/>
                    <w:tr2bl w:val="nil"/>
                  </w:tcBorders>
                  <w:vAlign w:val="center"/>
                </w:tcPr>
                <w:p>
                  <w:pPr>
                    <w:jc w:val="center"/>
                    <w:rPr>
                      <w:sz w:val="21"/>
                      <w:szCs w:val="21"/>
                    </w:rPr>
                  </w:pPr>
                  <w:r>
                    <w:rPr>
                      <w:sz w:val="21"/>
                      <w:szCs w:val="21"/>
                      <w:lang w:eastAsia="zh-Hans"/>
                    </w:rPr>
                    <w:t>/</w:t>
                  </w:r>
                </w:p>
              </w:tc>
              <w:tc>
                <w:tcPr>
                  <w:tcW w:w="937" w:type="dxa"/>
                  <w:tcBorders>
                    <w:tl2br w:val="nil"/>
                    <w:tr2bl w:val="nil"/>
                  </w:tcBorders>
                  <w:vAlign w:val="center"/>
                </w:tcPr>
                <w:p>
                  <w:pPr>
                    <w:jc w:val="center"/>
                    <w:rPr>
                      <w:sz w:val="21"/>
                      <w:szCs w:val="21"/>
                    </w:rPr>
                  </w:pPr>
                  <w:r>
                    <w:rPr>
                      <w:sz w:val="21"/>
                      <w:szCs w:val="21"/>
                      <w:lang w:eastAsia="zh-Hans"/>
                    </w:rPr>
                    <w:t>/</w:t>
                  </w:r>
                </w:p>
              </w:tc>
              <w:tc>
                <w:tcPr>
                  <w:tcW w:w="920" w:type="dxa"/>
                  <w:vMerge w:val="continue"/>
                  <w:tcBorders>
                    <w:tl2br w:val="nil"/>
                    <w:tr2bl w:val="nil"/>
                  </w:tcBorders>
                  <w:vAlign w:val="center"/>
                </w:tcPr>
                <w:p>
                  <w:pPr>
                    <w:pStyle w:val="35"/>
                    <w:rPr>
                      <w:sz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6</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四枪加油机（汽油柴油）</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自吸，带油气回收</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1</w:t>
                  </w:r>
                </w:p>
              </w:tc>
              <w:tc>
                <w:tcPr>
                  <w:tcW w:w="1463" w:type="dxa"/>
                  <w:tcBorders>
                    <w:tl2br w:val="nil"/>
                    <w:tr2bl w:val="nil"/>
                  </w:tcBorders>
                  <w:vAlign w:val="center"/>
                </w:tcPr>
                <w:p>
                  <w:pPr>
                    <w:jc w:val="center"/>
                    <w:rPr>
                      <w:sz w:val="21"/>
                      <w:szCs w:val="21"/>
                    </w:rPr>
                  </w:pPr>
                  <w:r>
                    <w:rPr>
                      <w:sz w:val="21"/>
                      <w:szCs w:val="21"/>
                      <w:lang w:eastAsia="zh-Hans"/>
                    </w:rPr>
                    <w:t>/</w:t>
                  </w:r>
                </w:p>
              </w:tc>
              <w:tc>
                <w:tcPr>
                  <w:tcW w:w="937" w:type="dxa"/>
                  <w:tcBorders>
                    <w:tl2br w:val="nil"/>
                    <w:tr2bl w:val="nil"/>
                  </w:tcBorders>
                  <w:vAlign w:val="center"/>
                </w:tcPr>
                <w:p>
                  <w:pPr>
                    <w:jc w:val="center"/>
                    <w:rPr>
                      <w:sz w:val="21"/>
                      <w:szCs w:val="21"/>
                    </w:rPr>
                  </w:pPr>
                  <w:r>
                    <w:rPr>
                      <w:sz w:val="21"/>
                      <w:szCs w:val="21"/>
                      <w:lang w:eastAsia="zh-Hans"/>
                    </w:rPr>
                    <w:t>/</w:t>
                  </w:r>
                </w:p>
              </w:tc>
              <w:tc>
                <w:tcPr>
                  <w:tcW w:w="920" w:type="dxa"/>
                  <w:vMerge w:val="continue"/>
                  <w:tcBorders>
                    <w:tl2br w:val="nil"/>
                    <w:tr2bl w:val="nil"/>
                  </w:tcBorders>
                  <w:vAlign w:val="center"/>
                </w:tcPr>
                <w:p>
                  <w:pPr>
                    <w:pStyle w:val="35"/>
                    <w:rPr>
                      <w:rFonts w:hint="default" w:eastAsia="宋体"/>
                      <w:sz w:val="21"/>
                      <w:lang w:val="en-US" w:eastAsia="zh-Hans"/>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bidi="ar-SA"/>
                    </w:rPr>
                  </w:pPr>
                  <w:r>
                    <w:rPr>
                      <w:rFonts w:hint="default" w:cs="Times New Roman"/>
                      <w:sz w:val="21"/>
                      <w:szCs w:val="21"/>
                      <w:lang w:eastAsia="zh-CN" w:bidi="ar-SA"/>
                    </w:rPr>
                    <w:t>7</w:t>
                  </w:r>
                </w:p>
              </w:tc>
              <w:tc>
                <w:tcPr>
                  <w:tcW w:w="1700" w:type="dxa"/>
                  <w:tcBorders>
                    <w:tl2br w:val="nil"/>
                    <w:tr2bl w:val="nil"/>
                  </w:tcBorders>
                  <w:vAlign w:val="center"/>
                </w:tcPr>
                <w:p>
                  <w:pPr>
                    <w:widowControl/>
                    <w:spacing w:line="240" w:lineRule="auto"/>
                    <w:jc w:val="center"/>
                    <w:rPr>
                      <w:rFonts w:hint="eastAsia" w:ascii="Times New Roman" w:hAnsi="Times New Roman" w:eastAsia="宋体" w:cs="Times New Roman"/>
                      <w:sz w:val="21"/>
                      <w:szCs w:val="21"/>
                      <w:lang w:val="en-US" w:eastAsia="zh-CN" w:bidi="ar-SA"/>
                    </w:rPr>
                  </w:pPr>
                  <w:r>
                    <w:rPr>
                      <w:rFonts w:hint="eastAsia"/>
                      <w:color w:val="auto"/>
                      <w:kern w:val="0"/>
                      <w:sz w:val="21"/>
                      <w:szCs w:val="21"/>
                    </w:rPr>
                    <w:t>双层防渗卧式油罐（柴油）</w:t>
                  </w:r>
                </w:p>
              </w:tc>
              <w:tc>
                <w:tcPr>
                  <w:tcW w:w="17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bidi="ar-SA"/>
                    </w:rPr>
                  </w:pPr>
                  <w:r>
                    <w:rPr>
                      <w:rFonts w:hint="eastAsia"/>
                      <w:color w:val="auto"/>
                      <w:kern w:val="0"/>
                      <w:sz w:val="21"/>
                      <w:szCs w:val="21"/>
                    </w:rPr>
                    <w:t>30m</w:t>
                  </w:r>
                  <w:r>
                    <w:rPr>
                      <w:rFonts w:hint="eastAsia"/>
                      <w:color w:val="auto"/>
                      <w:kern w:val="0"/>
                      <w:sz w:val="21"/>
                      <w:szCs w:val="21"/>
                      <w:vertAlign w:val="superscript"/>
                    </w:rPr>
                    <w:t>3</w:t>
                  </w:r>
                </w:p>
              </w:tc>
              <w:tc>
                <w:tcPr>
                  <w:tcW w:w="805" w:type="dxa"/>
                  <w:tcBorders>
                    <w:tl2br w:val="nil"/>
                    <w:tr2bl w:val="nil"/>
                  </w:tcBorders>
                  <w:vAlign w:val="center"/>
                </w:tcPr>
                <w:p>
                  <w:pPr>
                    <w:widowControl/>
                    <w:spacing w:line="240" w:lineRule="auto"/>
                    <w:jc w:val="center"/>
                    <w:rPr>
                      <w:rFonts w:hint="eastAsia" w:ascii="Times New Roman" w:hAnsi="Times New Roman" w:eastAsia="宋体" w:cs="Times New Roman"/>
                      <w:sz w:val="21"/>
                      <w:szCs w:val="21"/>
                      <w:lang w:val="en-US" w:eastAsia="zh-CN" w:bidi="ar-SA"/>
                    </w:rPr>
                  </w:pPr>
                  <w:r>
                    <w:rPr>
                      <w:rFonts w:hint="eastAsia"/>
                      <w:color w:val="auto"/>
                      <w:kern w:val="0"/>
                      <w:sz w:val="21"/>
                      <w:szCs w:val="21"/>
                    </w:rPr>
                    <w:t>2</w:t>
                  </w:r>
                </w:p>
              </w:tc>
              <w:tc>
                <w:tcPr>
                  <w:tcW w:w="1463" w:type="dxa"/>
                  <w:tcBorders>
                    <w:tl2br w:val="nil"/>
                    <w:tr2bl w:val="nil"/>
                  </w:tcBorders>
                  <w:vAlign w:val="center"/>
                </w:tcPr>
                <w:p>
                  <w:pPr>
                    <w:jc w:val="center"/>
                    <w:rPr>
                      <w:rFonts w:hint="eastAsia" w:ascii="Times New Roman" w:hAnsi="Times New Roman" w:eastAsia="宋体" w:cs="Times New Roman"/>
                      <w:sz w:val="21"/>
                      <w:szCs w:val="21"/>
                      <w:lang w:val="en-US" w:eastAsia="zh-CN" w:bidi="ar-SA"/>
                    </w:rPr>
                  </w:pPr>
                  <w:r>
                    <w:rPr>
                      <w:sz w:val="21"/>
                      <w:szCs w:val="21"/>
                      <w:lang w:eastAsia="zh-Hans"/>
                    </w:rPr>
                    <w:t>/</w:t>
                  </w:r>
                </w:p>
              </w:tc>
              <w:tc>
                <w:tcPr>
                  <w:tcW w:w="937" w:type="dxa"/>
                  <w:tcBorders>
                    <w:tl2br w:val="nil"/>
                    <w:tr2bl w:val="nil"/>
                  </w:tcBorders>
                  <w:vAlign w:val="center"/>
                </w:tcPr>
                <w:p>
                  <w:pPr>
                    <w:jc w:val="center"/>
                    <w:rPr>
                      <w:rFonts w:hint="default" w:ascii="Times New Roman" w:hAnsi="Times New Roman" w:eastAsia="宋体" w:cs="Times New Roman"/>
                      <w:sz w:val="21"/>
                      <w:szCs w:val="21"/>
                      <w:lang w:eastAsia="zh-CN" w:bidi="ar-SA"/>
                    </w:rPr>
                  </w:pPr>
                  <w:r>
                    <w:rPr>
                      <w:sz w:val="21"/>
                      <w:szCs w:val="21"/>
                      <w:lang w:eastAsia="zh-Hans"/>
                    </w:rPr>
                    <w:t>/</w:t>
                  </w:r>
                </w:p>
              </w:tc>
              <w:tc>
                <w:tcPr>
                  <w:tcW w:w="920" w:type="dxa"/>
                  <w:vMerge w:val="continue"/>
                  <w:tcBorders>
                    <w:tl2br w:val="nil"/>
                    <w:tr2bl w:val="nil"/>
                  </w:tcBorders>
                  <w:vAlign w:val="center"/>
                </w:tcPr>
                <w:p>
                  <w:pPr>
                    <w:pStyle w:val="35"/>
                    <w:rPr>
                      <w:rFonts w:ascii="Times New Roman" w:hAnsi="Times New Roman" w:eastAsia="宋体" w:cs="Times New Roman"/>
                      <w:color w:val="000000"/>
                      <w:sz w:val="21"/>
                      <w:szCs w:val="21"/>
                      <w:lang w:val="en-US" w:eastAsia="zh-CN" w:bidi="ar-SA"/>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rFonts w:hint="default"/>
                      <w:sz w:val="21"/>
                      <w:szCs w:val="21"/>
                    </w:rPr>
                  </w:pPr>
                  <w:r>
                    <w:rPr>
                      <w:rFonts w:hint="default"/>
                      <w:sz w:val="21"/>
                      <w:szCs w:val="21"/>
                    </w:rPr>
                    <w:t>8</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四枪加油机（汽油）</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自吸，带油气回收</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1</w:t>
                  </w:r>
                </w:p>
              </w:tc>
              <w:tc>
                <w:tcPr>
                  <w:tcW w:w="1463" w:type="dxa"/>
                  <w:tcBorders>
                    <w:tl2br w:val="nil"/>
                    <w:tr2bl w:val="nil"/>
                  </w:tcBorders>
                  <w:vAlign w:val="center"/>
                </w:tcPr>
                <w:p>
                  <w:pPr>
                    <w:spacing w:line="240" w:lineRule="auto"/>
                    <w:jc w:val="center"/>
                    <w:rPr>
                      <w:sz w:val="21"/>
                      <w:szCs w:val="21"/>
                    </w:rPr>
                  </w:pPr>
                  <w:r>
                    <w:rPr>
                      <w:rFonts w:hint="eastAsia"/>
                      <w:color w:val="auto"/>
                      <w:kern w:val="0"/>
                      <w:sz w:val="21"/>
                      <w:szCs w:val="21"/>
                    </w:rPr>
                    <w:t>自吸，带油气回收</w:t>
                  </w:r>
                </w:p>
              </w:tc>
              <w:tc>
                <w:tcPr>
                  <w:tcW w:w="937" w:type="dxa"/>
                  <w:tcBorders>
                    <w:tl2br w:val="nil"/>
                    <w:tr2bl w:val="nil"/>
                  </w:tcBorders>
                  <w:vAlign w:val="center"/>
                </w:tcPr>
                <w:p>
                  <w:pPr>
                    <w:jc w:val="center"/>
                    <w:rPr>
                      <w:rFonts w:hint="default"/>
                      <w:sz w:val="21"/>
                      <w:szCs w:val="21"/>
                    </w:rPr>
                  </w:pPr>
                  <w:r>
                    <w:rPr>
                      <w:rFonts w:hint="default"/>
                      <w:sz w:val="21"/>
                      <w:szCs w:val="21"/>
                    </w:rPr>
                    <w:t>3</w:t>
                  </w:r>
                </w:p>
              </w:tc>
              <w:tc>
                <w:tcPr>
                  <w:tcW w:w="920" w:type="dxa"/>
                  <w:vMerge w:val="restart"/>
                  <w:tcBorders>
                    <w:tl2br w:val="nil"/>
                    <w:tr2bl w:val="nil"/>
                  </w:tcBorders>
                  <w:vAlign w:val="center"/>
                </w:tcPr>
                <w:p>
                  <w:pPr>
                    <w:pStyle w:val="35"/>
                    <w:tabs>
                      <w:tab w:val="left" w:pos="315"/>
                    </w:tabs>
                    <w:jc w:val="center"/>
                    <w:rPr>
                      <w:rFonts w:hint="default" w:eastAsia="宋体"/>
                      <w:sz w:val="21"/>
                      <w:lang w:val="en-US" w:eastAsia="zh-Hans"/>
                    </w:rPr>
                  </w:pPr>
                  <w:r>
                    <w:rPr>
                      <w:rFonts w:hint="eastAsia"/>
                      <w:sz w:val="21"/>
                      <w:lang w:val="en-US" w:eastAsia="zh-Hans"/>
                    </w:rPr>
                    <w:t>年用油量不变，设备数量增加，但不影响总体产能</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pPr>
                    <w:spacing w:line="240" w:lineRule="auto"/>
                    <w:jc w:val="center"/>
                    <w:rPr>
                      <w:sz w:val="21"/>
                      <w:szCs w:val="21"/>
                    </w:rPr>
                  </w:pPr>
                  <w:r>
                    <w:rPr>
                      <w:rFonts w:hint="eastAsia"/>
                      <w:sz w:val="21"/>
                      <w:szCs w:val="21"/>
                    </w:rPr>
                    <w:t>9</w:t>
                  </w:r>
                </w:p>
              </w:tc>
              <w:tc>
                <w:tcPr>
                  <w:tcW w:w="1700"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双层防渗卧式油罐（汽油）</w:t>
                  </w:r>
                </w:p>
              </w:tc>
              <w:tc>
                <w:tcPr>
                  <w:tcW w:w="1798"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30m</w:t>
                  </w:r>
                  <w:r>
                    <w:rPr>
                      <w:rFonts w:hint="eastAsia"/>
                      <w:color w:val="auto"/>
                      <w:kern w:val="0"/>
                      <w:sz w:val="21"/>
                      <w:szCs w:val="21"/>
                      <w:vertAlign w:val="superscript"/>
                    </w:rPr>
                    <w:t>3</w:t>
                  </w:r>
                </w:p>
              </w:tc>
              <w:tc>
                <w:tcPr>
                  <w:tcW w:w="805" w:type="dxa"/>
                  <w:tcBorders>
                    <w:tl2br w:val="nil"/>
                    <w:tr2bl w:val="nil"/>
                  </w:tcBorders>
                  <w:vAlign w:val="center"/>
                </w:tcPr>
                <w:p>
                  <w:pPr>
                    <w:widowControl/>
                    <w:spacing w:line="240" w:lineRule="auto"/>
                    <w:jc w:val="center"/>
                    <w:rPr>
                      <w:sz w:val="21"/>
                      <w:szCs w:val="21"/>
                    </w:rPr>
                  </w:pPr>
                  <w:r>
                    <w:rPr>
                      <w:rFonts w:hint="eastAsia"/>
                      <w:color w:val="auto"/>
                      <w:kern w:val="0"/>
                      <w:sz w:val="21"/>
                      <w:szCs w:val="21"/>
                    </w:rPr>
                    <w:t>2</w:t>
                  </w:r>
                </w:p>
              </w:tc>
              <w:tc>
                <w:tcPr>
                  <w:tcW w:w="1463" w:type="dxa"/>
                  <w:tcBorders>
                    <w:tl2br w:val="nil"/>
                    <w:tr2bl w:val="nil"/>
                  </w:tcBorders>
                  <w:vAlign w:val="center"/>
                </w:tcPr>
                <w:p>
                  <w:pPr>
                    <w:jc w:val="center"/>
                    <w:rPr>
                      <w:sz w:val="21"/>
                      <w:szCs w:val="21"/>
                    </w:rPr>
                  </w:pPr>
                  <w:r>
                    <w:rPr>
                      <w:sz w:val="21"/>
                      <w:szCs w:val="21"/>
                      <w:lang w:eastAsia="zh-Hans"/>
                    </w:rPr>
                    <w:t>/</w:t>
                  </w:r>
                </w:p>
              </w:tc>
              <w:tc>
                <w:tcPr>
                  <w:tcW w:w="937" w:type="dxa"/>
                  <w:tcBorders>
                    <w:tl2br w:val="nil"/>
                    <w:tr2bl w:val="nil"/>
                  </w:tcBorders>
                  <w:vAlign w:val="center"/>
                </w:tcPr>
                <w:p>
                  <w:pPr>
                    <w:jc w:val="center"/>
                    <w:rPr>
                      <w:rFonts w:hint="eastAsia" w:eastAsia="宋体"/>
                      <w:sz w:val="21"/>
                      <w:szCs w:val="21"/>
                      <w:lang w:eastAsia="zh-CN"/>
                    </w:rPr>
                  </w:pPr>
                  <w:r>
                    <w:rPr>
                      <w:rFonts w:hint="eastAsia"/>
                      <w:sz w:val="21"/>
                      <w:szCs w:val="21"/>
                      <w:lang w:val="en-US" w:eastAsia="zh-CN"/>
                    </w:rPr>
                    <w:t>3</w:t>
                  </w:r>
                </w:p>
              </w:tc>
              <w:tc>
                <w:tcPr>
                  <w:tcW w:w="920" w:type="dxa"/>
                  <w:vMerge w:val="continue"/>
                  <w:tcBorders>
                    <w:tl2br w:val="nil"/>
                    <w:tr2bl w:val="nil"/>
                  </w:tcBorders>
                  <w:vAlign w:val="center"/>
                </w:tcPr>
                <w:p>
                  <w:pPr>
                    <w:pStyle w:val="35"/>
                    <w:rPr>
                      <w:sz w:val="21"/>
                    </w:rPr>
                  </w:pPr>
                </w:p>
              </w:tc>
            </w:tr>
          </w:tbl>
          <w:p>
            <w:pPr>
              <w:ind w:firstLine="480" w:firstLineChars="200"/>
            </w:pPr>
            <w:r>
              <w:rPr>
                <w:rFonts w:hint="eastAsia"/>
              </w:rPr>
              <w:t>变动分析：实际建设中因市场需求，本单位取消加气</w:t>
            </w:r>
            <w:r>
              <w:rPr>
                <w:rFonts w:hint="eastAsia"/>
                <w:lang w:val="en-US" w:eastAsia="zh-Hans"/>
              </w:rPr>
              <w:t>和柴油</w:t>
            </w:r>
            <w:r>
              <w:rPr>
                <w:rFonts w:hint="eastAsia"/>
              </w:rPr>
              <w:t>业务，故所有加气设备均未建设</w:t>
            </w:r>
            <w:r>
              <w:rPr>
                <w:rFonts w:hint="eastAsia"/>
                <w:lang w:eastAsia="zh-Hans"/>
              </w:rPr>
              <w:t>，</w:t>
            </w:r>
            <w:r>
              <w:rPr>
                <w:rFonts w:hint="eastAsia"/>
                <w:lang w:val="en-US" w:eastAsia="zh-Hans"/>
              </w:rPr>
              <w:t>汽油储罐数量由</w:t>
            </w:r>
            <w:r>
              <w:rPr>
                <w:rFonts w:hint="default"/>
                <w:lang w:eastAsia="zh-Hans"/>
              </w:rPr>
              <w:t>2</w:t>
            </w:r>
            <w:r>
              <w:rPr>
                <w:rFonts w:hint="eastAsia"/>
                <w:lang w:val="en-US" w:eastAsia="zh-Hans"/>
              </w:rPr>
              <w:t>个增加为</w:t>
            </w:r>
            <w:r>
              <w:rPr>
                <w:rFonts w:hint="default"/>
                <w:lang w:eastAsia="zh-Hans"/>
              </w:rPr>
              <w:t>3</w:t>
            </w:r>
            <w:r>
              <w:rPr>
                <w:rFonts w:hint="eastAsia"/>
                <w:lang w:val="en-US" w:eastAsia="zh-Hans"/>
              </w:rPr>
              <w:t>个，四强加油机（汽油）数量由</w:t>
            </w:r>
            <w:r>
              <w:rPr>
                <w:rFonts w:hint="default"/>
                <w:lang w:eastAsia="zh-Hans"/>
              </w:rPr>
              <w:t>1</w:t>
            </w:r>
            <w:r>
              <w:rPr>
                <w:rFonts w:hint="eastAsia"/>
                <w:lang w:val="en-US" w:eastAsia="zh-Hans"/>
              </w:rPr>
              <w:t>个增加为</w:t>
            </w:r>
            <w:r>
              <w:rPr>
                <w:rFonts w:hint="default"/>
                <w:lang w:eastAsia="zh-Hans"/>
              </w:rPr>
              <w:t>3</w:t>
            </w:r>
            <w:r>
              <w:rPr>
                <w:rFonts w:hint="eastAsia"/>
                <w:lang w:val="en-US" w:eastAsia="zh-Hans"/>
              </w:rPr>
              <w:t>个，但年用油量不变，不影响总体产能</w:t>
            </w:r>
            <w:r>
              <w:rPr>
                <w:rFonts w:hint="eastAsia"/>
              </w:rPr>
              <w:t>。</w:t>
            </w:r>
          </w:p>
          <w:p>
            <w:r>
              <w:t>5、本项目原辅材料及资源能源消耗量见下表：</w:t>
            </w:r>
          </w:p>
          <w:p>
            <w:pPr>
              <w:pStyle w:val="32"/>
              <w:ind w:firstLine="480"/>
            </w:pPr>
            <w:r>
              <w:t>表</w:t>
            </w:r>
            <w:r>
              <w:rPr>
                <w:rFonts w:hint="eastAsia"/>
              </w:rPr>
              <w:t xml:space="preserve">6                </w:t>
            </w:r>
            <w:r>
              <w:t>本项目原辅材料及资源能源消耗量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9"/>
              <w:gridCol w:w="2793"/>
              <w:gridCol w:w="2555"/>
              <w:gridCol w:w="24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24" w:type="pct"/>
                  <w:tcBorders>
                    <w:tl2br w:val="nil"/>
                    <w:tr2bl w:val="nil"/>
                  </w:tcBorders>
                  <w:vAlign w:val="center"/>
                </w:tcPr>
                <w:p>
                  <w:pPr>
                    <w:pStyle w:val="35"/>
                    <w:rPr>
                      <w:b/>
                      <w:bCs/>
                      <w:sz w:val="21"/>
                      <w:szCs w:val="21"/>
                      <w:lang w:val="pt-BR"/>
                    </w:rPr>
                  </w:pPr>
                  <w:r>
                    <w:rPr>
                      <w:b/>
                      <w:bCs/>
                      <w:sz w:val="21"/>
                      <w:szCs w:val="21"/>
                    </w:rPr>
                    <w:t>序号</w:t>
                  </w:r>
                </w:p>
              </w:tc>
              <w:tc>
                <w:tcPr>
                  <w:tcW w:w="1681" w:type="pct"/>
                  <w:tcBorders>
                    <w:tl2br w:val="nil"/>
                    <w:tr2bl w:val="nil"/>
                  </w:tcBorders>
                  <w:vAlign w:val="center"/>
                </w:tcPr>
                <w:p>
                  <w:pPr>
                    <w:pStyle w:val="35"/>
                    <w:rPr>
                      <w:b/>
                      <w:bCs/>
                      <w:sz w:val="21"/>
                      <w:szCs w:val="21"/>
                      <w:lang w:val="pt-BR"/>
                    </w:rPr>
                  </w:pPr>
                  <w:r>
                    <w:rPr>
                      <w:b/>
                      <w:bCs/>
                      <w:sz w:val="21"/>
                      <w:szCs w:val="21"/>
                    </w:rPr>
                    <w:t>原辅材料</w:t>
                  </w:r>
                </w:p>
              </w:tc>
              <w:tc>
                <w:tcPr>
                  <w:tcW w:w="1538" w:type="pct"/>
                  <w:tcBorders>
                    <w:tl2br w:val="nil"/>
                    <w:tr2bl w:val="nil"/>
                  </w:tcBorders>
                  <w:vAlign w:val="center"/>
                </w:tcPr>
                <w:p>
                  <w:pPr>
                    <w:pStyle w:val="35"/>
                    <w:rPr>
                      <w:b/>
                      <w:bCs/>
                      <w:sz w:val="21"/>
                      <w:szCs w:val="21"/>
                      <w:lang w:val="pt-BR"/>
                    </w:rPr>
                  </w:pPr>
                  <w:r>
                    <w:rPr>
                      <w:b/>
                      <w:bCs/>
                      <w:sz w:val="21"/>
                      <w:szCs w:val="21"/>
                    </w:rPr>
                    <w:t>环评批复用量</w:t>
                  </w:r>
                </w:p>
              </w:tc>
              <w:tc>
                <w:tcPr>
                  <w:tcW w:w="1456" w:type="pct"/>
                  <w:tcBorders>
                    <w:tl2br w:val="nil"/>
                    <w:tr2bl w:val="nil"/>
                  </w:tcBorders>
                  <w:vAlign w:val="center"/>
                </w:tcPr>
                <w:p>
                  <w:pPr>
                    <w:pStyle w:val="35"/>
                    <w:rPr>
                      <w:b/>
                      <w:bCs/>
                      <w:sz w:val="21"/>
                      <w:szCs w:val="21"/>
                      <w:lang w:val="pt-BR"/>
                    </w:rPr>
                  </w:pPr>
                  <w:r>
                    <w:rPr>
                      <w:b/>
                      <w:bCs/>
                      <w:sz w:val="21"/>
                      <w:szCs w:val="21"/>
                      <w:lang w:val="pt-BR"/>
                    </w:rPr>
                    <w:t>实际生产用量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4" w:type="pct"/>
                  <w:tcBorders>
                    <w:tl2br w:val="nil"/>
                    <w:tr2bl w:val="nil"/>
                  </w:tcBorders>
                  <w:vAlign w:val="center"/>
                </w:tcPr>
                <w:p>
                  <w:pPr>
                    <w:spacing w:line="240" w:lineRule="auto"/>
                    <w:jc w:val="center"/>
                    <w:rPr>
                      <w:sz w:val="21"/>
                      <w:szCs w:val="21"/>
                      <w:lang w:val="pt-BR"/>
                    </w:rPr>
                  </w:pPr>
                  <w:r>
                    <w:rPr>
                      <w:rFonts w:hint="eastAsia"/>
                      <w:sz w:val="21"/>
                      <w:szCs w:val="21"/>
                    </w:rPr>
                    <w:t>1</w:t>
                  </w:r>
                </w:p>
              </w:tc>
              <w:tc>
                <w:tcPr>
                  <w:tcW w:w="1681" w:type="pct"/>
                  <w:tcBorders>
                    <w:tl2br w:val="nil"/>
                    <w:tr2bl w:val="nil"/>
                  </w:tcBorders>
                  <w:vAlign w:val="center"/>
                </w:tcPr>
                <w:p>
                  <w:pPr>
                    <w:widowControl/>
                    <w:spacing w:line="240" w:lineRule="auto"/>
                    <w:jc w:val="center"/>
                    <w:rPr>
                      <w:sz w:val="21"/>
                      <w:szCs w:val="21"/>
                      <w:lang w:val="pt-BR"/>
                    </w:rPr>
                  </w:pPr>
                  <w:r>
                    <w:rPr>
                      <w:rFonts w:hint="eastAsia"/>
                      <w:color w:val="auto"/>
                      <w:kern w:val="0"/>
                      <w:sz w:val="21"/>
                      <w:szCs w:val="21"/>
                    </w:rPr>
                    <w:t>成品油（汽油）</w:t>
                  </w:r>
                </w:p>
              </w:tc>
              <w:tc>
                <w:tcPr>
                  <w:tcW w:w="1538" w:type="pct"/>
                  <w:tcBorders>
                    <w:tl2br w:val="nil"/>
                    <w:tr2bl w:val="nil"/>
                  </w:tcBorders>
                  <w:vAlign w:val="center"/>
                </w:tcPr>
                <w:p>
                  <w:pPr>
                    <w:widowControl/>
                    <w:spacing w:line="240" w:lineRule="auto"/>
                    <w:jc w:val="center"/>
                    <w:rPr>
                      <w:sz w:val="21"/>
                      <w:szCs w:val="21"/>
                      <w:lang w:val="pt-BR"/>
                    </w:rPr>
                  </w:pPr>
                  <w:r>
                    <w:rPr>
                      <w:rFonts w:hint="eastAsia" w:ascii="Times New Roman" w:hAnsi="Times New Roman" w:eastAsia="宋体" w:cs="Times New Roman"/>
                      <w:color w:val="000000"/>
                      <w:sz w:val="21"/>
                      <w:szCs w:val="21"/>
                      <w:lang w:val="en-US" w:eastAsia="zh-CN" w:bidi="ar-SA"/>
                    </w:rPr>
                    <w:t>2000吨</w:t>
                  </w:r>
                </w:p>
              </w:tc>
              <w:tc>
                <w:tcPr>
                  <w:tcW w:w="1456" w:type="pct"/>
                  <w:tcBorders>
                    <w:tl2br w:val="nil"/>
                    <w:tr2bl w:val="nil"/>
                  </w:tcBorders>
                  <w:vAlign w:val="center"/>
                </w:tcPr>
                <w:p>
                  <w:pPr>
                    <w:pStyle w:val="35"/>
                    <w:rPr>
                      <w:rFonts w:hint="eastAsia" w:eastAsia="宋体"/>
                      <w:sz w:val="21"/>
                      <w:szCs w:val="21"/>
                      <w:lang w:val="en-US" w:eastAsia="zh-Hans"/>
                    </w:rPr>
                  </w:pPr>
                  <w:r>
                    <w:rPr>
                      <w:rFonts w:hint="default"/>
                      <w:sz w:val="21"/>
                      <w:szCs w:val="21"/>
                    </w:rPr>
                    <w:t>2000</w:t>
                  </w:r>
                  <w:r>
                    <w:rPr>
                      <w:rFonts w:hint="eastAsia"/>
                      <w:sz w:val="21"/>
                      <w:szCs w:val="21"/>
                      <w:lang w:val="en-US" w:eastAsia="zh-Hans"/>
                    </w:rPr>
                    <w:t>吨</w:t>
                  </w:r>
                </w:p>
              </w:tc>
            </w:tr>
          </w:tbl>
          <w:p>
            <w:pPr>
              <w:ind w:firstLine="480" w:firstLineChars="200"/>
            </w:pPr>
            <w:r>
              <w:rPr>
                <w:rFonts w:hint="eastAsia"/>
              </w:rPr>
              <w:t>变动分析：实际建设中因市场需求，本单位取消加气</w:t>
            </w:r>
            <w:r>
              <w:rPr>
                <w:rFonts w:hint="eastAsia"/>
                <w:lang w:val="en-US" w:eastAsia="zh-Hans"/>
              </w:rPr>
              <w:t>和柴油</w:t>
            </w:r>
            <w:r>
              <w:rPr>
                <w:rFonts w:hint="eastAsia"/>
              </w:rPr>
              <w:t>业务，故原辅材料不再使用L-CNG</w:t>
            </w:r>
            <w:r>
              <w:rPr>
                <w:rFonts w:hint="eastAsia"/>
                <w:lang w:val="en-US" w:eastAsia="zh-Hans"/>
              </w:rPr>
              <w:t>和柴油</w:t>
            </w:r>
            <w:r>
              <w:rPr>
                <w:rFonts w:hint="eastAsia"/>
              </w:rPr>
              <w:t>。</w:t>
            </w:r>
          </w:p>
          <w:p>
            <w:pPr>
              <w:rPr>
                <w:color w:val="000000"/>
                <w:szCs w:val="24"/>
                <w:lang w:val="pt-BR"/>
              </w:rPr>
            </w:pPr>
            <w:r>
              <w:rPr>
                <w:color w:val="000000"/>
                <w:szCs w:val="24"/>
                <w:lang w:val="pt-BR"/>
              </w:rPr>
              <w:t>6、</w:t>
            </w:r>
            <w:r>
              <w:rPr>
                <w:color w:val="000000"/>
                <w:szCs w:val="24"/>
              </w:rPr>
              <w:t>生产工艺流程示意图如下</w:t>
            </w:r>
            <w:r>
              <w:rPr>
                <w:color w:val="000000"/>
                <w:szCs w:val="24"/>
                <w:lang w:val="pt-BR"/>
              </w:rPr>
              <w:t>：</w:t>
            </w:r>
          </w:p>
          <w:p>
            <w:pPr>
              <w:ind w:firstLine="480" w:firstLineChars="200"/>
            </w:pPr>
            <w:r>
              <w:t>本项目环评批复和验收生产工艺流程及产污环节一致，如下图。</w:t>
            </w:r>
          </w:p>
          <w:p>
            <w:pPr>
              <w:pStyle w:val="2"/>
              <w:spacing w:line="240" w:lineRule="auto"/>
            </w:pPr>
          </w:p>
          <w:p>
            <w:pPr>
              <w:keepNext w:val="0"/>
              <w:keepLines w:val="0"/>
              <w:pageBreakBefore w:val="0"/>
              <w:widowControl/>
              <w:kinsoku/>
              <w:wordWrap/>
              <w:overflowPunct/>
              <w:topLinePunct w:val="0"/>
              <w:autoSpaceDE/>
              <w:autoSpaceDN/>
              <w:bidi w:val="0"/>
              <w:adjustRightInd w:val="0"/>
              <w:snapToGrid w:val="0"/>
              <w:spacing w:line="240" w:lineRule="auto"/>
              <w:textAlignment w:val="auto"/>
            </w:pPr>
            <w:r>
              <w:object>
                <v:shape id="_x0000_i1030" o:spt="75" alt="" type="#_x0000_t75" style="height:189.35pt;width:386.65pt;" o:ole="t" filled="f" o:preferrelative="t" stroked="f" coordsize="21600,21600">
                  <v:path/>
                  <v:fill on="f" focussize="0,0"/>
                  <v:stroke on="f"/>
                  <v:imagedata r:id="rId9" o:title=""/>
                  <o:lock v:ext="edit" aspectratio="t"/>
                  <w10:wrap type="none"/>
                  <w10:anchorlock/>
                </v:shape>
                <o:OLEObject Type="Embed" ProgID="Visio.Drawing.11" ShapeID="_x0000_i1030" DrawAspect="Content" ObjectID="_1468075725" r:id="rId8">
                  <o:LockedField>false</o:LockedField>
                </o:OLEObject>
              </w:object>
            </w:r>
          </w:p>
          <w:p>
            <w:pPr>
              <w:jc w:val="center"/>
              <w:rPr>
                <w:rFonts w:eastAsia="黑体"/>
                <w:szCs w:val="24"/>
              </w:rPr>
            </w:pPr>
            <w:r>
              <w:rPr>
                <w:rFonts w:eastAsia="黑体"/>
                <w:szCs w:val="24"/>
              </w:rPr>
              <w:t>图</w:t>
            </w:r>
            <w:r>
              <w:rPr>
                <w:rFonts w:hint="eastAsia" w:eastAsia="黑体"/>
                <w:szCs w:val="24"/>
              </w:rPr>
              <w:t xml:space="preserve">2 </w:t>
            </w:r>
            <w:r>
              <w:rPr>
                <w:rFonts w:eastAsia="黑体"/>
                <w:szCs w:val="24"/>
              </w:rPr>
              <w:t xml:space="preserve"> </w:t>
            </w:r>
            <w:r>
              <w:rPr>
                <w:rFonts w:hint="eastAsia" w:eastAsia="黑体"/>
                <w:szCs w:val="24"/>
              </w:rPr>
              <w:t>加油站工艺流程</w:t>
            </w:r>
            <w:r>
              <w:rPr>
                <w:rFonts w:eastAsia="黑体"/>
                <w:szCs w:val="24"/>
              </w:rPr>
              <w:t>图</w:t>
            </w:r>
          </w:p>
          <w:p>
            <w:pPr>
              <w:spacing w:line="440" w:lineRule="exact"/>
              <w:ind w:firstLine="482" w:firstLineChars="200"/>
              <w:textAlignment w:val="baseline"/>
              <w:rPr>
                <w:b/>
              </w:rPr>
            </w:pPr>
            <w:r>
              <w:rPr>
                <w:b/>
              </w:rPr>
              <w:t>工艺流程简述：</w:t>
            </w:r>
          </w:p>
          <w:p>
            <w:pPr>
              <w:ind w:firstLine="480" w:firstLineChars="200"/>
              <w:rPr>
                <w:szCs w:val="24"/>
              </w:rPr>
            </w:pPr>
            <w:r>
              <w:rPr>
                <w:rFonts w:hint="eastAsia"/>
                <w:szCs w:val="24"/>
              </w:rPr>
              <w:t>本项目采用自吸式工艺流程，装载有成品油的汽车槽车通过软管和导管，将成品油卸入加油站地埋式储油罐内，油罐车卸油采用密闭卸油工艺（配套建设油气回收系统）。通过专用胶管和密闭卸油管道连接，进行自流卸油。</w:t>
            </w:r>
          </w:p>
          <w:p>
            <w:pPr>
              <w:ind w:firstLine="480" w:firstLineChars="200"/>
              <w:rPr>
                <w:szCs w:val="24"/>
              </w:rPr>
            </w:pPr>
            <w:r>
              <w:rPr>
                <w:rFonts w:hint="eastAsia"/>
                <w:szCs w:val="24"/>
              </w:rPr>
              <w:t>加油机本身自带的泵将油品由储油罐吸到加油机内，加油机加油采取自吸式油枪（配套建设油气回收系统），地埋油罐内的油品由加油机自吸泵通过管道输送至加油机向汽车加油。</w:t>
            </w:r>
          </w:p>
          <w:p>
            <w:pPr>
              <w:ind w:firstLine="480"/>
              <w:rPr>
                <w:szCs w:val="24"/>
              </w:rPr>
            </w:pPr>
            <w:r>
              <w:rPr>
                <w:rFonts w:hint="eastAsia"/>
                <w:szCs w:val="24"/>
              </w:rPr>
              <w:t>汽车槽车通过软管和导管，将成品油卸入到地埋式储油罐或车辆油箱时，由于环境温度的变化和罐内压力的变化，使得罐内逸出的烃类气体通过罐顶的呼吸阀排入大气，这种现象称为储油罐大呼吸，为了减少对环境的污染可采用内浮顶式储罐，呼吸损失可减少93%。油罐在没有收发油作业的情况下，随着外界气温、压力在一天内的升降周期变化，罐内气体空间温度、油品蒸发速度、油气浓度和蒸汽压力也随之变化，这种现象称为储油罐小呼吸。</w:t>
            </w:r>
          </w:p>
          <w:p>
            <w:pPr>
              <w:ind w:firstLine="482" w:firstLineChars="200"/>
              <w:rPr>
                <w:szCs w:val="24"/>
              </w:rPr>
            </w:pPr>
            <w:r>
              <w:rPr>
                <w:rFonts w:hint="eastAsia"/>
                <w:b/>
              </w:rPr>
              <w:t>油气回收工艺原理</w:t>
            </w:r>
            <w:r>
              <w:rPr>
                <w:b/>
              </w:rPr>
              <w:t>：</w:t>
            </w:r>
            <w:r>
              <w:rPr>
                <w:rFonts w:hint="eastAsia"/>
                <w:szCs w:val="24"/>
              </w:rPr>
              <w:t>加油站油气回收系统由卸油油气回收系统、汽油密闭储存、加油油气回收系统、在线监测系统和油气排放处理装置组成。因此本项目需要安装卸油油气回收系统（一次回收）、汽油密闭储存、加油油气回收系统（二次回收），以及后处理设备（三次回收）。油气回收系统示意图见图</w:t>
            </w:r>
            <w:r>
              <w:rPr>
                <w:rFonts w:hint="default"/>
                <w:szCs w:val="24"/>
              </w:rPr>
              <w:t>3</w:t>
            </w:r>
            <w:r>
              <w:rPr>
                <w:rFonts w:hint="eastAsia"/>
                <w:szCs w:val="24"/>
              </w:rPr>
              <w:t>。</w:t>
            </w:r>
          </w:p>
          <w:p>
            <w:pPr>
              <w:pStyle w:val="46"/>
            </w:pPr>
          </w:p>
          <w:p>
            <w:pPr>
              <w:pStyle w:val="46"/>
              <w:rPr>
                <w:szCs w:val="24"/>
              </w:rPr>
            </w:pPr>
            <w:r>
              <w:object>
                <v:shape id="_x0000_i1026" o:spt="75" type="#_x0000_t75" style="height:209pt;width:319.8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jc w:val="center"/>
              <w:rPr>
                <w:rFonts w:eastAsia="黑体"/>
                <w:szCs w:val="24"/>
              </w:rPr>
            </w:pPr>
            <w:r>
              <w:rPr>
                <w:rFonts w:hint="eastAsia" w:eastAsia="黑体"/>
                <w:szCs w:val="24"/>
              </w:rPr>
              <w:t>图3  油气回收系统示意图</w:t>
            </w:r>
          </w:p>
          <w:p>
            <w:pPr>
              <w:spacing w:line="420" w:lineRule="exact"/>
              <w:ind w:firstLine="480" w:firstLineChars="200"/>
              <w:rPr>
                <w:szCs w:val="24"/>
              </w:rPr>
            </w:pPr>
            <w:r>
              <w:rPr>
                <w:rFonts w:hint="eastAsia"/>
                <w:szCs w:val="24"/>
              </w:rPr>
              <w:t>一次油气回收阶段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一次油气回收阶段结束。</w:t>
            </w:r>
          </w:p>
          <w:p>
            <w:pPr>
              <w:spacing w:line="420" w:lineRule="exact"/>
              <w:ind w:firstLine="480"/>
              <w:rPr>
                <w:szCs w:val="24"/>
              </w:rPr>
            </w:pPr>
            <w:r>
              <w:rPr>
                <w:rFonts w:hint="eastAsia"/>
                <w:szCs w:val="24"/>
              </w:rPr>
              <w:t>二次油气回收阶段是采用真空辅助式油气回收设备，将在加油过程中挥发的油气通过地下油气回收管线收集到地下储罐内的油气回收过程。该阶段油气回收实现过程：在加油站为汽车加油过程中，通过真空泵产生一定真空度，经过加油枪、油气回收管、真空泵等油气回收设备，按照气液比控制在1.0至1.2之间的要求，将加油过程中挥发的油气回收到油罐内。</w:t>
            </w:r>
          </w:p>
          <w:p>
            <w:pPr>
              <w:spacing w:line="420" w:lineRule="exact"/>
              <w:ind w:firstLine="480"/>
              <w:rPr>
                <w:szCs w:val="24"/>
              </w:rPr>
            </w:pPr>
            <w:r>
              <w:rPr>
                <w:rFonts w:hint="eastAsia"/>
                <w:szCs w:val="24"/>
              </w:rPr>
              <w:t>三次油气回收阶段为储油罐呼吸口的后处理设备，本项目使用冷凝装置对呼吸口油气进行处理后排放。</w:t>
            </w:r>
          </w:p>
          <w:p>
            <w:pPr>
              <w:spacing w:line="420" w:lineRule="exact"/>
              <w:ind w:firstLine="480" w:firstLineChars="200"/>
            </w:pPr>
            <w:r>
              <w:rPr>
                <w:color w:val="000000"/>
                <w:szCs w:val="24"/>
              </w:rPr>
              <w:t>本项目营运期主要污染物、产污环节及防治措施详见下表。</w:t>
            </w:r>
          </w:p>
          <w:p>
            <w:pPr>
              <w:pStyle w:val="32"/>
              <w:ind w:firstLine="480"/>
            </w:pPr>
            <w:r>
              <w:t>表</w:t>
            </w:r>
            <w:r>
              <w:rPr>
                <w:rFonts w:hint="eastAsia"/>
              </w:rPr>
              <w:t xml:space="preserve">7             </w:t>
            </w:r>
            <w:r>
              <w:t>项目营运期产污环节一览表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666"/>
              <w:gridCol w:w="2084"/>
              <w:gridCol w:w="323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tcBorders>
                    <w:tl2br w:val="nil"/>
                    <w:tr2bl w:val="nil"/>
                  </w:tcBorders>
                  <w:vAlign w:val="center"/>
                </w:tcPr>
                <w:p>
                  <w:pPr>
                    <w:pStyle w:val="35"/>
                    <w:rPr>
                      <w:b/>
                      <w:bCs/>
                      <w:sz w:val="21"/>
                    </w:rPr>
                  </w:pPr>
                  <w:r>
                    <w:rPr>
                      <w:b/>
                      <w:bCs/>
                      <w:sz w:val="21"/>
                    </w:rPr>
                    <w:t>污染因素</w:t>
                  </w:r>
                </w:p>
              </w:tc>
              <w:tc>
                <w:tcPr>
                  <w:tcW w:w="1666" w:type="dxa"/>
                  <w:tcBorders>
                    <w:tl2br w:val="nil"/>
                    <w:tr2bl w:val="nil"/>
                  </w:tcBorders>
                  <w:vAlign w:val="center"/>
                </w:tcPr>
                <w:p>
                  <w:pPr>
                    <w:pStyle w:val="35"/>
                    <w:rPr>
                      <w:b/>
                      <w:bCs/>
                      <w:sz w:val="21"/>
                    </w:rPr>
                  </w:pPr>
                  <w:r>
                    <w:rPr>
                      <w:b/>
                      <w:bCs/>
                      <w:sz w:val="21"/>
                    </w:rPr>
                    <w:t>产污环节</w:t>
                  </w:r>
                </w:p>
              </w:tc>
              <w:tc>
                <w:tcPr>
                  <w:tcW w:w="2084" w:type="dxa"/>
                  <w:tcBorders>
                    <w:tl2br w:val="nil"/>
                    <w:tr2bl w:val="nil"/>
                  </w:tcBorders>
                  <w:vAlign w:val="center"/>
                </w:tcPr>
                <w:p>
                  <w:pPr>
                    <w:pStyle w:val="35"/>
                    <w:rPr>
                      <w:b/>
                      <w:bCs/>
                      <w:sz w:val="21"/>
                    </w:rPr>
                  </w:pPr>
                  <w:r>
                    <w:rPr>
                      <w:b/>
                      <w:bCs/>
                      <w:sz w:val="21"/>
                    </w:rPr>
                    <w:t>污染物</w:t>
                  </w:r>
                </w:p>
              </w:tc>
              <w:tc>
                <w:tcPr>
                  <w:tcW w:w="3239" w:type="dxa"/>
                  <w:tcBorders>
                    <w:tl2br w:val="nil"/>
                    <w:tr2bl w:val="nil"/>
                  </w:tcBorders>
                  <w:vAlign w:val="center"/>
                </w:tcPr>
                <w:p>
                  <w:pPr>
                    <w:pStyle w:val="35"/>
                    <w:rPr>
                      <w:b/>
                      <w:bCs/>
                      <w:sz w:val="21"/>
                    </w:rPr>
                  </w:pPr>
                  <w:r>
                    <w:rPr>
                      <w:b/>
                      <w:bCs/>
                      <w:sz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tcBorders>
                    <w:tl2br w:val="nil"/>
                    <w:tr2bl w:val="nil"/>
                  </w:tcBorders>
                  <w:vAlign w:val="center"/>
                </w:tcPr>
                <w:p>
                  <w:pPr>
                    <w:pStyle w:val="35"/>
                    <w:rPr>
                      <w:sz w:val="21"/>
                    </w:rPr>
                  </w:pPr>
                  <w:r>
                    <w:rPr>
                      <w:sz w:val="21"/>
                    </w:rPr>
                    <w:t>废水</w:t>
                  </w:r>
                </w:p>
              </w:tc>
              <w:tc>
                <w:tcPr>
                  <w:tcW w:w="1666" w:type="dxa"/>
                  <w:tcBorders>
                    <w:tl2br w:val="nil"/>
                    <w:tr2bl w:val="nil"/>
                  </w:tcBorders>
                  <w:vAlign w:val="center"/>
                </w:tcPr>
                <w:p>
                  <w:pPr>
                    <w:pStyle w:val="35"/>
                    <w:rPr>
                      <w:sz w:val="21"/>
                    </w:rPr>
                  </w:pPr>
                  <w:r>
                    <w:rPr>
                      <w:rFonts w:hint="eastAsia"/>
                      <w:sz w:val="21"/>
                    </w:rPr>
                    <w:t>生活污水</w:t>
                  </w:r>
                </w:p>
              </w:tc>
              <w:tc>
                <w:tcPr>
                  <w:tcW w:w="2084" w:type="dxa"/>
                  <w:tcBorders>
                    <w:tl2br w:val="nil"/>
                    <w:tr2bl w:val="nil"/>
                  </w:tcBorders>
                  <w:vAlign w:val="center"/>
                </w:tcPr>
                <w:p>
                  <w:pPr>
                    <w:pStyle w:val="35"/>
                    <w:rPr>
                      <w:sz w:val="21"/>
                    </w:rPr>
                  </w:pPr>
                  <w:r>
                    <w:rPr>
                      <w:sz w:val="21"/>
                    </w:rPr>
                    <w:t>COD、SS、氨氮</w:t>
                  </w:r>
                </w:p>
              </w:tc>
              <w:tc>
                <w:tcPr>
                  <w:tcW w:w="3239" w:type="dxa"/>
                  <w:tcBorders>
                    <w:tl2br w:val="nil"/>
                    <w:tr2bl w:val="nil"/>
                  </w:tcBorders>
                  <w:vAlign w:val="center"/>
                </w:tcPr>
                <w:p>
                  <w:pPr>
                    <w:pStyle w:val="35"/>
                    <w:rPr>
                      <w:sz w:val="21"/>
                    </w:rPr>
                  </w:pPr>
                  <w:r>
                    <w:rPr>
                      <w:rFonts w:hint="eastAsia"/>
                      <w:sz w:val="21"/>
                    </w:rPr>
                    <w:t>化粪池处理后定期清运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tcBorders>
                    <w:tl2br w:val="nil"/>
                    <w:tr2bl w:val="nil"/>
                  </w:tcBorders>
                  <w:vAlign w:val="center"/>
                </w:tcPr>
                <w:p>
                  <w:pPr>
                    <w:pStyle w:val="35"/>
                    <w:rPr>
                      <w:sz w:val="21"/>
                    </w:rPr>
                  </w:pPr>
                  <w:r>
                    <w:rPr>
                      <w:rFonts w:hint="eastAsia"/>
                      <w:sz w:val="21"/>
                    </w:rPr>
                    <w:t>废气</w:t>
                  </w:r>
                </w:p>
              </w:tc>
              <w:tc>
                <w:tcPr>
                  <w:tcW w:w="1666" w:type="dxa"/>
                  <w:tcBorders>
                    <w:tl2br w:val="nil"/>
                    <w:tr2bl w:val="nil"/>
                  </w:tcBorders>
                  <w:vAlign w:val="center"/>
                </w:tcPr>
                <w:p>
                  <w:pPr>
                    <w:pStyle w:val="35"/>
                    <w:rPr>
                      <w:sz w:val="21"/>
                    </w:rPr>
                  </w:pPr>
                  <w:r>
                    <w:rPr>
                      <w:rFonts w:hint="eastAsia"/>
                      <w:sz w:val="21"/>
                    </w:rPr>
                    <w:t>加油站废气</w:t>
                  </w:r>
                </w:p>
              </w:tc>
              <w:tc>
                <w:tcPr>
                  <w:tcW w:w="2084" w:type="dxa"/>
                  <w:tcBorders>
                    <w:tl2br w:val="nil"/>
                    <w:tr2bl w:val="nil"/>
                  </w:tcBorders>
                  <w:vAlign w:val="center"/>
                </w:tcPr>
                <w:p>
                  <w:pPr>
                    <w:pStyle w:val="35"/>
                    <w:rPr>
                      <w:sz w:val="21"/>
                    </w:rPr>
                  </w:pPr>
                  <w:r>
                    <w:rPr>
                      <w:rFonts w:hint="eastAsia"/>
                      <w:sz w:val="21"/>
                    </w:rPr>
                    <w:t>非甲烷总烃</w:t>
                  </w:r>
                </w:p>
              </w:tc>
              <w:tc>
                <w:tcPr>
                  <w:tcW w:w="3239" w:type="dxa"/>
                  <w:tcBorders>
                    <w:tl2br w:val="nil"/>
                    <w:tr2bl w:val="nil"/>
                  </w:tcBorders>
                  <w:vAlign w:val="center"/>
                </w:tcPr>
                <w:p>
                  <w:pPr>
                    <w:pStyle w:val="35"/>
                    <w:rPr>
                      <w:sz w:val="21"/>
                    </w:rPr>
                  </w:pPr>
                  <w:r>
                    <w:rPr>
                      <w:rFonts w:hint="eastAsia"/>
                      <w:sz w:val="21"/>
                    </w:rPr>
                    <w:t>汽油油气回收装置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tcBorders>
                    <w:tl2br w:val="nil"/>
                    <w:tr2bl w:val="nil"/>
                  </w:tcBorders>
                  <w:vAlign w:val="center"/>
                </w:tcPr>
                <w:p>
                  <w:pPr>
                    <w:pStyle w:val="35"/>
                    <w:rPr>
                      <w:sz w:val="21"/>
                    </w:rPr>
                  </w:pPr>
                  <w:r>
                    <w:rPr>
                      <w:sz w:val="21"/>
                    </w:rPr>
                    <w:t>噪声</w:t>
                  </w:r>
                </w:p>
              </w:tc>
              <w:tc>
                <w:tcPr>
                  <w:tcW w:w="1666" w:type="dxa"/>
                  <w:tcBorders>
                    <w:tl2br w:val="nil"/>
                    <w:tr2bl w:val="nil"/>
                  </w:tcBorders>
                  <w:vAlign w:val="center"/>
                </w:tcPr>
                <w:p>
                  <w:pPr>
                    <w:pStyle w:val="35"/>
                    <w:rPr>
                      <w:sz w:val="21"/>
                    </w:rPr>
                  </w:pPr>
                  <w:r>
                    <w:rPr>
                      <w:rFonts w:hint="eastAsia"/>
                      <w:sz w:val="21"/>
                    </w:rPr>
                    <w:t>各类机械噪声</w:t>
                  </w:r>
                </w:p>
              </w:tc>
              <w:tc>
                <w:tcPr>
                  <w:tcW w:w="2084" w:type="dxa"/>
                  <w:tcBorders>
                    <w:tl2br w:val="nil"/>
                    <w:tr2bl w:val="nil"/>
                  </w:tcBorders>
                  <w:vAlign w:val="center"/>
                </w:tcPr>
                <w:p>
                  <w:pPr>
                    <w:pStyle w:val="35"/>
                    <w:rPr>
                      <w:sz w:val="21"/>
                    </w:rPr>
                  </w:pPr>
                  <w:r>
                    <w:rPr>
                      <w:sz w:val="21"/>
                    </w:rPr>
                    <w:t>噪声</w:t>
                  </w:r>
                </w:p>
              </w:tc>
              <w:tc>
                <w:tcPr>
                  <w:tcW w:w="3239" w:type="dxa"/>
                  <w:tcBorders>
                    <w:tl2br w:val="nil"/>
                    <w:tr2bl w:val="nil"/>
                  </w:tcBorders>
                  <w:vAlign w:val="center"/>
                </w:tcPr>
                <w:p>
                  <w:pPr>
                    <w:pStyle w:val="35"/>
                    <w:rPr>
                      <w:sz w:val="21"/>
                    </w:rPr>
                  </w:pPr>
                  <w:r>
                    <w:rPr>
                      <w:sz w:val="21"/>
                    </w:rPr>
                    <w:t>减震、</w:t>
                  </w:r>
                  <w:r>
                    <w:rPr>
                      <w:rFonts w:hint="eastAsia"/>
                      <w:sz w:val="21"/>
                    </w:rPr>
                    <w:t>密闭</w:t>
                  </w:r>
                  <w:r>
                    <w:rPr>
                      <w:sz w:val="21"/>
                    </w:rPr>
                    <w:t>隔音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tcBorders>
                    <w:tl2br w:val="nil"/>
                    <w:tr2bl w:val="nil"/>
                  </w:tcBorders>
                  <w:vAlign w:val="center"/>
                </w:tcPr>
                <w:p>
                  <w:pPr>
                    <w:pStyle w:val="35"/>
                    <w:rPr>
                      <w:sz w:val="21"/>
                    </w:rPr>
                  </w:pPr>
                  <w:r>
                    <w:rPr>
                      <w:rFonts w:hint="eastAsia"/>
                      <w:sz w:val="21"/>
                    </w:rPr>
                    <w:t>固废</w:t>
                  </w:r>
                </w:p>
              </w:tc>
              <w:tc>
                <w:tcPr>
                  <w:tcW w:w="1666" w:type="dxa"/>
                  <w:tcBorders>
                    <w:tl2br w:val="nil"/>
                    <w:tr2bl w:val="nil"/>
                  </w:tcBorders>
                  <w:vAlign w:val="center"/>
                </w:tcPr>
                <w:p>
                  <w:pPr>
                    <w:pStyle w:val="35"/>
                    <w:rPr>
                      <w:sz w:val="21"/>
                    </w:rPr>
                  </w:pPr>
                  <w:r>
                    <w:rPr>
                      <w:rFonts w:hint="eastAsia"/>
                      <w:sz w:val="21"/>
                    </w:rPr>
                    <w:t>油罐定期清洗</w:t>
                  </w:r>
                </w:p>
              </w:tc>
              <w:tc>
                <w:tcPr>
                  <w:tcW w:w="2084" w:type="dxa"/>
                  <w:tcBorders>
                    <w:tl2br w:val="nil"/>
                    <w:tr2bl w:val="nil"/>
                  </w:tcBorders>
                  <w:vAlign w:val="center"/>
                </w:tcPr>
                <w:p>
                  <w:pPr>
                    <w:pStyle w:val="35"/>
                    <w:rPr>
                      <w:sz w:val="21"/>
                    </w:rPr>
                  </w:pPr>
                  <w:r>
                    <w:rPr>
                      <w:rFonts w:hint="eastAsia"/>
                      <w:sz w:val="21"/>
                    </w:rPr>
                    <w:t>废汽油</w:t>
                  </w:r>
                </w:p>
              </w:tc>
              <w:tc>
                <w:tcPr>
                  <w:tcW w:w="3239" w:type="dxa"/>
                  <w:tcBorders>
                    <w:tl2br w:val="nil"/>
                    <w:tr2bl w:val="nil"/>
                  </w:tcBorders>
                  <w:vAlign w:val="center"/>
                </w:tcPr>
                <w:p>
                  <w:pPr>
                    <w:pStyle w:val="35"/>
                    <w:rPr>
                      <w:sz w:val="21"/>
                    </w:rPr>
                  </w:pPr>
                  <w:r>
                    <w:rPr>
                      <w:rFonts w:hint="eastAsia"/>
                      <w:sz w:val="21"/>
                    </w:rPr>
                    <w:t>交由有资质的单位进行处置</w:t>
                  </w:r>
                </w:p>
              </w:tc>
            </w:tr>
          </w:tbl>
          <w:p>
            <w:pPr>
              <w:pStyle w:val="32"/>
              <w:ind w:firstLine="480"/>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p>
            <w:pPr>
              <w:pStyle w:val="32"/>
              <w:spacing w:line="240" w:lineRule="auto"/>
              <w:ind w:firstLine="0" w:firstLineChars="0"/>
              <w:jc w:val="both"/>
              <w:rPr>
                <w:rFonts w:eastAsia="宋体" w:cs="Times New Roman"/>
                <w:bCs/>
                <w:color w:val="000000"/>
                <w:szCs w:val="24"/>
              </w:rPr>
            </w:pPr>
          </w:p>
        </w:tc>
      </w:tr>
    </w:tbl>
    <w:p>
      <w:pPr>
        <w:spacing w:line="440" w:lineRule="exact"/>
        <w:rPr>
          <w:rFonts w:eastAsia="仿宋_GB2312"/>
          <w:b/>
          <w:szCs w:val="24"/>
        </w:rPr>
      </w:pPr>
      <w:r>
        <w:rPr>
          <w:rFonts w:hint="eastAsia" w:eastAsia="仿宋_GB2312"/>
          <w:b/>
          <w:szCs w:val="24"/>
        </w:rPr>
        <w:t>表三</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CellMar>
            <w:top w:w="0" w:type="dxa"/>
            <w:left w:w="108" w:type="dxa"/>
            <w:bottom w:w="0" w:type="dxa"/>
            <w:right w:w="108" w:type="dxa"/>
          </w:tblCellMar>
        </w:tblPrEx>
        <w:trPr>
          <w:trHeight w:val="11450" w:hRule="atLeast"/>
          <w:jc w:val="center"/>
        </w:trPr>
        <w:tc>
          <w:tcPr>
            <w:tcW w:w="8522" w:type="dxa"/>
            <w:tcBorders>
              <w:tl2br w:val="nil"/>
              <w:tr2bl w:val="nil"/>
            </w:tcBorders>
          </w:tcPr>
          <w:p>
            <w:r>
              <w:t>主要污染源、污染物处理和排放</w:t>
            </w:r>
          </w:p>
          <w:p>
            <w:r>
              <w:t>1</w:t>
            </w:r>
            <w:r>
              <w:rPr>
                <w:rFonts w:hint="eastAsia"/>
              </w:rPr>
              <w:t>、废气</w:t>
            </w:r>
          </w:p>
          <w:p>
            <w:pPr>
              <w:ind w:firstLine="480" w:firstLineChars="200"/>
              <w:textAlignment w:val="baseline"/>
            </w:pPr>
            <w:r>
              <w:rPr>
                <w:rFonts w:hint="eastAsia"/>
              </w:rPr>
              <w:t>本项目废气主要为卸油过程中、加油作业过程中及储油过程中汽油挥发产生的非甲烷总烃，储罐的大小呼吸挥发的废气经冷凝处理后经不低于4m放空管排放，其他的经油气回收系统处理后无组织排放。</w:t>
            </w:r>
          </w:p>
          <w:p>
            <w:pPr>
              <w:numPr>
                <w:ilvl w:val="0"/>
                <w:numId w:val="1"/>
              </w:numPr>
            </w:pPr>
            <w:r>
              <w:rPr>
                <w:rFonts w:hint="eastAsia"/>
              </w:rPr>
              <w:t>废水</w:t>
            </w:r>
          </w:p>
          <w:p>
            <w:pPr>
              <w:ind w:firstLine="480" w:firstLineChars="200"/>
            </w:pPr>
            <w:r>
              <w:rPr>
                <w:rFonts w:hint="eastAsia"/>
              </w:rPr>
              <w:t>本项目无生产废水，职工生活污水经化粪池处理后定期请运。</w:t>
            </w:r>
          </w:p>
          <w:p>
            <w:pPr>
              <w:numPr>
                <w:ilvl w:val="0"/>
                <w:numId w:val="1"/>
              </w:numPr>
            </w:pPr>
            <w:r>
              <w:t>噪声</w:t>
            </w:r>
          </w:p>
          <w:p>
            <w:pPr>
              <w:ind w:firstLine="420"/>
            </w:pPr>
            <w:r>
              <w:rPr>
                <w:rFonts w:hint="eastAsia"/>
              </w:rPr>
              <w:t>项目噪声主要来源于设备运行过程中产生的噪声，经基础减振、厂房隔声等能够满足</w:t>
            </w:r>
            <w:r>
              <w:t>《工业企业厂界环境噪声排放标准》（GB12348-2008）</w:t>
            </w:r>
            <w:r>
              <w:rPr>
                <w:rFonts w:hint="default"/>
              </w:rPr>
              <w:t>1</w:t>
            </w:r>
            <w:r>
              <w:t>类标准</w:t>
            </w:r>
            <w:r>
              <w:rPr>
                <w:rFonts w:hint="eastAsia"/>
              </w:rPr>
              <w:t>。</w:t>
            </w:r>
          </w:p>
          <w:p>
            <w:pPr>
              <w:spacing w:before="180" w:beforeLines="50" w:line="360" w:lineRule="auto"/>
              <w:jc w:val="center"/>
              <w:textAlignment w:val="baseline"/>
            </w:pPr>
            <w:r>
              <w:drawing>
                <wp:inline distT="0" distB="0" distL="114300" distR="114300">
                  <wp:extent cx="5219700" cy="55245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stretch>
                            <a:fillRect/>
                          </a:stretch>
                        </pic:blipFill>
                        <pic:spPr>
                          <a:xfrm>
                            <a:off x="0" y="0"/>
                            <a:ext cx="5219700" cy="552450"/>
                          </a:xfrm>
                          <a:prstGeom prst="rect">
                            <a:avLst/>
                          </a:prstGeom>
                          <a:noFill/>
                          <a:ln>
                            <a:noFill/>
                          </a:ln>
                        </pic:spPr>
                      </pic:pic>
                    </a:graphicData>
                  </a:graphic>
                </wp:inline>
              </w:drawing>
            </w:r>
          </w:p>
          <w:p>
            <w:pPr>
              <w:pStyle w:val="46"/>
            </w:pPr>
            <w:r>
              <w:t>图</w:t>
            </w:r>
            <w:r>
              <w:rPr>
                <w:rFonts w:hint="eastAsia"/>
              </w:rPr>
              <w:t xml:space="preserve">4  </w:t>
            </w:r>
            <w:r>
              <w:t>噪声治理流程示意图</w:t>
            </w:r>
          </w:p>
          <w:p>
            <w:r>
              <w:rPr>
                <w:rFonts w:hint="eastAsia"/>
              </w:rPr>
              <w:t>3</w:t>
            </w:r>
            <w:r>
              <w:t>、固废</w:t>
            </w:r>
          </w:p>
          <w:p>
            <w:pPr>
              <w:ind w:firstLine="480" w:firstLineChars="200"/>
              <w:jc w:val="both"/>
            </w:pPr>
            <w:r>
              <w:rPr>
                <w:rFonts w:hint="eastAsia"/>
              </w:rPr>
              <w:t>本项目产生的固废主要为油罐定期清洗产生的废汽油。经查《国家危险废物名录》（2016），油罐清洗产生废汽油属于HW08废矿物油与含矿物油废物。油罐清洗由危废处理单位进行，清洗完成直接运走，不在站内暂存。该部分危险废物应交由有相应资质的危废处理单位进行处置，本单位已和河南思骏环保科技有限公司签订危废处置协议，详见附件。</w:t>
            </w:r>
          </w:p>
          <w:p>
            <w:pPr>
              <w:textAlignment w:val="baseline"/>
            </w:pPr>
            <w:r>
              <w:rPr>
                <w:rFonts w:hint="eastAsia"/>
              </w:rPr>
              <w:t>4、环保设施</w:t>
            </w:r>
            <w:r>
              <w:t>“</w:t>
            </w:r>
            <w:r>
              <w:rPr>
                <w:rFonts w:hint="eastAsia"/>
              </w:rPr>
              <w:t>三同时</w:t>
            </w:r>
            <w:r>
              <w:t>”</w:t>
            </w:r>
            <w:r>
              <w:rPr>
                <w:rFonts w:hint="eastAsia"/>
              </w:rPr>
              <w:t>落实情况</w:t>
            </w:r>
          </w:p>
          <w:p>
            <w:pPr>
              <w:ind w:firstLine="480" w:firstLineChars="200"/>
              <w:jc w:val="both"/>
              <w:textAlignment w:val="baseline"/>
            </w:pPr>
            <w:r>
              <w:t>本项目严格按照环评及批复要求建设了相应的环保治理设施，详见下表。</w:t>
            </w: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r>
              <w:t>表</w:t>
            </w:r>
            <w:r>
              <w:rPr>
                <w:rFonts w:hint="eastAsia"/>
              </w:rPr>
              <w:t>8                项目环保治理设施一览表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125"/>
              <w:gridCol w:w="1335"/>
              <w:gridCol w:w="2340"/>
              <w:gridCol w:w="23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tcBorders>
                    <w:tl2br w:val="nil"/>
                    <w:tr2bl w:val="nil"/>
                  </w:tcBorders>
                  <w:vAlign w:val="center"/>
                </w:tcPr>
                <w:p>
                  <w:pPr>
                    <w:pStyle w:val="28"/>
                  </w:pPr>
                  <w:r>
                    <w:t>内容要素</w:t>
                  </w:r>
                </w:p>
              </w:tc>
              <w:tc>
                <w:tcPr>
                  <w:tcW w:w="677" w:type="pct"/>
                  <w:vMerge w:val="restart"/>
                  <w:tcBorders>
                    <w:tl2br w:val="nil"/>
                    <w:tr2bl w:val="nil"/>
                  </w:tcBorders>
                  <w:vAlign w:val="center"/>
                </w:tcPr>
                <w:p>
                  <w:pPr>
                    <w:pStyle w:val="28"/>
                  </w:pPr>
                  <w:r>
                    <w:t>污染源</w:t>
                  </w:r>
                </w:p>
              </w:tc>
              <w:tc>
                <w:tcPr>
                  <w:tcW w:w="803" w:type="pct"/>
                  <w:vMerge w:val="restart"/>
                  <w:tcBorders>
                    <w:tl2br w:val="nil"/>
                    <w:tr2bl w:val="nil"/>
                  </w:tcBorders>
                  <w:vAlign w:val="center"/>
                </w:tcPr>
                <w:p>
                  <w:pPr>
                    <w:pStyle w:val="28"/>
                  </w:pPr>
                  <w:r>
                    <w:t>污染物项目</w:t>
                  </w:r>
                </w:p>
              </w:tc>
              <w:tc>
                <w:tcPr>
                  <w:tcW w:w="1408" w:type="pct"/>
                  <w:tcBorders>
                    <w:tl2br w:val="nil"/>
                    <w:tr2bl w:val="nil"/>
                  </w:tcBorders>
                  <w:vAlign w:val="center"/>
                </w:tcPr>
                <w:p>
                  <w:pPr>
                    <w:pStyle w:val="28"/>
                  </w:pPr>
                  <w:r>
                    <w:t>环评批复</w:t>
                  </w:r>
                </w:p>
              </w:tc>
              <w:tc>
                <w:tcPr>
                  <w:tcW w:w="1429" w:type="pct"/>
                  <w:tcBorders>
                    <w:tl2br w:val="nil"/>
                    <w:tr2bl w:val="nil"/>
                  </w:tcBorders>
                  <w:vAlign w:val="center"/>
                </w:tcPr>
                <w:p>
                  <w:pPr>
                    <w:pStyle w:val="28"/>
                  </w:pPr>
                  <w:r>
                    <w:t>实际建设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tcBorders>
                    <w:tl2br w:val="nil"/>
                    <w:tr2bl w:val="nil"/>
                  </w:tcBorders>
                  <w:vAlign w:val="center"/>
                </w:tcPr>
                <w:p>
                  <w:pPr>
                    <w:pStyle w:val="28"/>
                  </w:pPr>
                </w:p>
              </w:tc>
              <w:tc>
                <w:tcPr>
                  <w:tcW w:w="677" w:type="pct"/>
                  <w:vMerge w:val="continue"/>
                  <w:tcBorders>
                    <w:tl2br w:val="nil"/>
                    <w:tr2bl w:val="nil"/>
                  </w:tcBorders>
                  <w:vAlign w:val="center"/>
                </w:tcPr>
                <w:p>
                  <w:pPr>
                    <w:pStyle w:val="28"/>
                  </w:pPr>
                </w:p>
              </w:tc>
              <w:tc>
                <w:tcPr>
                  <w:tcW w:w="803" w:type="pct"/>
                  <w:vMerge w:val="continue"/>
                  <w:tcBorders>
                    <w:tl2br w:val="nil"/>
                    <w:tr2bl w:val="nil"/>
                  </w:tcBorders>
                  <w:vAlign w:val="center"/>
                </w:tcPr>
                <w:p>
                  <w:pPr>
                    <w:pStyle w:val="28"/>
                  </w:pPr>
                </w:p>
              </w:tc>
              <w:tc>
                <w:tcPr>
                  <w:tcW w:w="1408" w:type="pct"/>
                  <w:tcBorders>
                    <w:tl2br w:val="nil"/>
                    <w:tr2bl w:val="nil"/>
                  </w:tcBorders>
                  <w:vAlign w:val="center"/>
                </w:tcPr>
                <w:p>
                  <w:pPr>
                    <w:pStyle w:val="28"/>
                  </w:pPr>
                  <w:r>
                    <w:t>环境保护措施</w:t>
                  </w:r>
                </w:p>
              </w:tc>
              <w:tc>
                <w:tcPr>
                  <w:tcW w:w="1429" w:type="pct"/>
                  <w:tcBorders>
                    <w:tl2br w:val="nil"/>
                    <w:tr2bl w:val="nil"/>
                  </w:tcBorders>
                  <w:vAlign w:val="center"/>
                </w:tcPr>
                <w:p>
                  <w:pPr>
                    <w:pStyle w:val="28"/>
                  </w:pPr>
                  <w:r>
                    <w:t>环境保护措施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pct"/>
                  <w:vMerge w:val="restart"/>
                  <w:tcBorders>
                    <w:tl2br w:val="nil"/>
                    <w:tr2bl w:val="nil"/>
                  </w:tcBorders>
                  <w:vAlign w:val="center"/>
                </w:tcPr>
                <w:p>
                  <w:pPr>
                    <w:pStyle w:val="28"/>
                  </w:pPr>
                  <w:r>
                    <w:t>大气环境</w:t>
                  </w:r>
                </w:p>
              </w:tc>
              <w:tc>
                <w:tcPr>
                  <w:tcW w:w="677" w:type="pct"/>
                  <w:vMerge w:val="restart"/>
                  <w:tcBorders>
                    <w:tl2br w:val="nil"/>
                    <w:tr2bl w:val="nil"/>
                  </w:tcBorders>
                  <w:vAlign w:val="center"/>
                </w:tcPr>
                <w:p>
                  <w:pPr>
                    <w:pStyle w:val="28"/>
                  </w:pPr>
                  <w:r>
                    <w:t>加油站</w:t>
                  </w:r>
                </w:p>
              </w:tc>
              <w:tc>
                <w:tcPr>
                  <w:tcW w:w="803" w:type="pct"/>
                  <w:vMerge w:val="restart"/>
                  <w:tcBorders>
                    <w:tl2br w:val="nil"/>
                    <w:tr2bl w:val="nil"/>
                  </w:tcBorders>
                  <w:vAlign w:val="center"/>
                </w:tcPr>
                <w:p>
                  <w:pPr>
                    <w:pStyle w:val="28"/>
                  </w:pPr>
                  <w:r>
                    <w:t>非甲烷总烃</w:t>
                  </w:r>
                </w:p>
              </w:tc>
              <w:tc>
                <w:tcPr>
                  <w:tcW w:w="1408" w:type="pct"/>
                  <w:vMerge w:val="restart"/>
                  <w:tcBorders>
                    <w:tl2br w:val="nil"/>
                    <w:tr2bl w:val="nil"/>
                  </w:tcBorders>
                  <w:vAlign w:val="center"/>
                </w:tcPr>
                <w:p>
                  <w:pPr>
                    <w:pStyle w:val="28"/>
                  </w:pPr>
                  <w:r>
                    <w:t>汽油油气回收系统2套</w:t>
                  </w:r>
                </w:p>
              </w:tc>
              <w:tc>
                <w:tcPr>
                  <w:tcW w:w="1429" w:type="pct"/>
                  <w:vMerge w:val="restart"/>
                  <w:tcBorders>
                    <w:tl2br w:val="nil"/>
                    <w:tr2bl w:val="nil"/>
                  </w:tcBorders>
                  <w:vAlign w:val="center"/>
                </w:tcPr>
                <w:p>
                  <w:pPr>
                    <w:pStyle w:val="28"/>
                  </w:pPr>
                  <w:r>
                    <w:t>汽油油气回收系统</w:t>
                  </w:r>
                  <w:r>
                    <w:rPr>
                      <w:rFonts w:hint="eastAsia"/>
                      <w:lang w:val="en-US" w:eastAsia="zh-CN"/>
                    </w:rPr>
                    <w:t>6</w:t>
                  </w:r>
                  <w:r>
                    <w:t>套</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pct"/>
                  <w:vMerge w:val="continue"/>
                  <w:tcBorders>
                    <w:tl2br w:val="nil"/>
                    <w:tr2bl w:val="nil"/>
                  </w:tcBorders>
                  <w:vAlign w:val="center"/>
                </w:tcPr>
                <w:p>
                  <w:pPr>
                    <w:pStyle w:val="28"/>
                  </w:pPr>
                </w:p>
              </w:tc>
              <w:tc>
                <w:tcPr>
                  <w:tcW w:w="677" w:type="pct"/>
                  <w:vMerge w:val="continue"/>
                  <w:tcBorders>
                    <w:tl2br w:val="nil"/>
                    <w:tr2bl w:val="nil"/>
                  </w:tcBorders>
                  <w:vAlign w:val="center"/>
                </w:tcPr>
                <w:p>
                  <w:pPr>
                    <w:pStyle w:val="28"/>
                  </w:pPr>
                  <w:r>
                    <w:t>酒糟堆放</w:t>
                  </w:r>
                </w:p>
              </w:tc>
              <w:tc>
                <w:tcPr>
                  <w:tcW w:w="803" w:type="pct"/>
                  <w:vMerge w:val="continue"/>
                  <w:tcBorders>
                    <w:tl2br w:val="nil"/>
                    <w:tr2bl w:val="nil"/>
                  </w:tcBorders>
                  <w:vAlign w:val="center"/>
                </w:tcPr>
                <w:p>
                  <w:pPr>
                    <w:pStyle w:val="28"/>
                  </w:pPr>
                  <w:r>
                    <w:t>硫化氢、氨气、臭气浓度</w:t>
                  </w:r>
                </w:p>
              </w:tc>
              <w:tc>
                <w:tcPr>
                  <w:tcW w:w="1408" w:type="pct"/>
                  <w:vMerge w:val="continue"/>
                  <w:tcBorders>
                    <w:tl2br w:val="nil"/>
                    <w:tr2bl w:val="nil"/>
                  </w:tcBorders>
                  <w:vAlign w:val="center"/>
                </w:tcPr>
                <w:p>
                  <w:pPr>
                    <w:pStyle w:val="28"/>
                  </w:pPr>
                </w:p>
              </w:tc>
              <w:tc>
                <w:tcPr>
                  <w:tcW w:w="1429" w:type="pct"/>
                  <w:vMerge w:val="continue"/>
                  <w:tcBorders>
                    <w:tl2br w:val="nil"/>
                    <w:tr2bl w:val="nil"/>
                  </w:tcBorders>
                  <w:vAlign w:val="center"/>
                </w:tcPr>
                <w:p>
                  <w:pPr>
                    <w:pStyle w:val="28"/>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pct"/>
                  <w:vMerge w:val="continue"/>
                  <w:tcBorders>
                    <w:tl2br w:val="nil"/>
                    <w:tr2bl w:val="nil"/>
                  </w:tcBorders>
                  <w:vAlign w:val="center"/>
                </w:tcPr>
                <w:p>
                  <w:pPr>
                    <w:pStyle w:val="28"/>
                  </w:pPr>
                </w:p>
              </w:tc>
              <w:tc>
                <w:tcPr>
                  <w:tcW w:w="677" w:type="pct"/>
                  <w:vMerge w:val="continue"/>
                  <w:tcBorders>
                    <w:tl2br w:val="nil"/>
                    <w:tr2bl w:val="nil"/>
                  </w:tcBorders>
                  <w:vAlign w:val="center"/>
                </w:tcPr>
                <w:p>
                  <w:pPr>
                    <w:pStyle w:val="28"/>
                  </w:pPr>
                  <w:r>
                    <w:t>生产废水</w:t>
                  </w:r>
                </w:p>
              </w:tc>
              <w:tc>
                <w:tcPr>
                  <w:tcW w:w="803" w:type="pct"/>
                  <w:vMerge w:val="continue"/>
                  <w:tcBorders>
                    <w:tl2br w:val="nil"/>
                    <w:tr2bl w:val="nil"/>
                  </w:tcBorders>
                  <w:vAlign w:val="center"/>
                </w:tcPr>
                <w:p>
                  <w:pPr>
                    <w:pStyle w:val="28"/>
                  </w:pPr>
                  <w:r>
                    <w:t>COD、BOD5、SS、NH3-N、TP、TN</w:t>
                  </w:r>
                </w:p>
              </w:tc>
              <w:tc>
                <w:tcPr>
                  <w:tcW w:w="1408" w:type="pct"/>
                  <w:vMerge w:val="continue"/>
                  <w:tcBorders>
                    <w:tl2br w:val="nil"/>
                    <w:tr2bl w:val="nil"/>
                  </w:tcBorders>
                  <w:vAlign w:val="center"/>
                </w:tcPr>
                <w:p>
                  <w:pPr>
                    <w:pStyle w:val="28"/>
                  </w:pPr>
                  <w:r>
                    <w:t>收集池沉淀后排入天冠集团污水处理厂处理，处理后经管网排入洪州污水处理厂</w:t>
                  </w:r>
                </w:p>
              </w:tc>
              <w:tc>
                <w:tcPr>
                  <w:tcW w:w="1429" w:type="pct"/>
                  <w:vMerge w:val="continue"/>
                  <w:tcBorders>
                    <w:tl2br w:val="nil"/>
                    <w:tr2bl w:val="nil"/>
                  </w:tcBorders>
                  <w:vAlign w:val="center"/>
                </w:tcPr>
                <w:p>
                  <w:pPr>
                    <w:pStyle w:val="28"/>
                  </w:pPr>
                  <w:r>
                    <w:t>收集池沉淀后排入天冠集团污水处理厂处理，处理后经管网排入洪州污水处理厂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vAlign w:val="center"/>
                </w:tcPr>
                <w:p>
                  <w:pPr>
                    <w:pStyle w:val="28"/>
                  </w:pPr>
                  <w:r>
                    <w:t>水环境</w:t>
                  </w:r>
                </w:p>
              </w:tc>
              <w:tc>
                <w:tcPr>
                  <w:tcW w:w="677" w:type="pct"/>
                  <w:tcBorders>
                    <w:tl2br w:val="nil"/>
                    <w:tr2bl w:val="nil"/>
                  </w:tcBorders>
                  <w:vAlign w:val="center"/>
                </w:tcPr>
                <w:p>
                  <w:pPr>
                    <w:pStyle w:val="28"/>
                  </w:pPr>
                  <w:r>
                    <w:t>生活污水</w:t>
                  </w:r>
                </w:p>
              </w:tc>
              <w:tc>
                <w:tcPr>
                  <w:tcW w:w="803" w:type="pct"/>
                  <w:tcBorders>
                    <w:tl2br w:val="nil"/>
                    <w:tr2bl w:val="nil"/>
                  </w:tcBorders>
                  <w:vAlign w:val="center"/>
                </w:tcPr>
                <w:p>
                  <w:pPr>
                    <w:pStyle w:val="28"/>
                  </w:pPr>
                  <w:r>
                    <w:t>COD、SS、氨氮</w:t>
                  </w:r>
                </w:p>
              </w:tc>
              <w:tc>
                <w:tcPr>
                  <w:tcW w:w="1408" w:type="pct"/>
                  <w:tcBorders>
                    <w:tl2br w:val="nil"/>
                    <w:tr2bl w:val="nil"/>
                  </w:tcBorders>
                  <w:vAlign w:val="center"/>
                </w:tcPr>
                <w:p>
                  <w:pPr>
                    <w:pStyle w:val="28"/>
                  </w:pPr>
                  <w:r>
                    <w:t>化粪池处理后定期清运</w:t>
                  </w:r>
                </w:p>
              </w:tc>
              <w:tc>
                <w:tcPr>
                  <w:tcW w:w="1429" w:type="pct"/>
                  <w:tcBorders>
                    <w:tl2br w:val="nil"/>
                    <w:tr2bl w:val="nil"/>
                  </w:tcBorders>
                  <w:vAlign w:val="center"/>
                </w:tcPr>
                <w:p>
                  <w:pPr>
                    <w:pStyle w:val="28"/>
                  </w:pPr>
                  <w:r>
                    <w:t>化粪池处理后定期清运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vAlign w:val="center"/>
                </w:tcPr>
                <w:p>
                  <w:pPr>
                    <w:pStyle w:val="28"/>
                  </w:pPr>
                  <w:r>
                    <w:t>声环境</w:t>
                  </w:r>
                </w:p>
              </w:tc>
              <w:tc>
                <w:tcPr>
                  <w:tcW w:w="677" w:type="pct"/>
                  <w:tcBorders>
                    <w:tl2br w:val="nil"/>
                    <w:tr2bl w:val="nil"/>
                  </w:tcBorders>
                  <w:vAlign w:val="center"/>
                </w:tcPr>
                <w:p>
                  <w:pPr>
                    <w:jc w:val="center"/>
                  </w:pPr>
                  <w:r>
                    <w:t>噪声</w:t>
                  </w:r>
                </w:p>
              </w:tc>
              <w:tc>
                <w:tcPr>
                  <w:tcW w:w="803" w:type="pct"/>
                  <w:tcBorders>
                    <w:tl2br w:val="nil"/>
                    <w:tr2bl w:val="nil"/>
                  </w:tcBorders>
                  <w:vAlign w:val="center"/>
                </w:tcPr>
                <w:p>
                  <w:pPr>
                    <w:jc w:val="center"/>
                  </w:pPr>
                  <w:r>
                    <w:t>生产噪声</w:t>
                  </w:r>
                </w:p>
              </w:tc>
              <w:tc>
                <w:tcPr>
                  <w:tcW w:w="1408" w:type="pct"/>
                  <w:tcBorders>
                    <w:tl2br w:val="nil"/>
                    <w:tr2bl w:val="nil"/>
                  </w:tcBorders>
                  <w:vAlign w:val="center"/>
                </w:tcPr>
                <w:p>
                  <w:pPr>
                    <w:jc w:val="center"/>
                  </w:pPr>
                  <w:r>
                    <w:t>设备减振、密闭隔音</w:t>
                  </w:r>
                </w:p>
              </w:tc>
              <w:tc>
                <w:tcPr>
                  <w:tcW w:w="1429" w:type="pct"/>
                  <w:tcBorders>
                    <w:tl2br w:val="nil"/>
                    <w:tr2bl w:val="nil"/>
                  </w:tcBorders>
                  <w:vAlign w:val="center"/>
                </w:tcPr>
                <w:p>
                  <w:pPr>
                    <w:pStyle w:val="28"/>
                  </w:pPr>
                  <w:r>
                    <w:t>设备减振、密闭隔音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80" w:type="pct"/>
                  <w:tcBorders>
                    <w:tl2br w:val="nil"/>
                    <w:tr2bl w:val="nil"/>
                  </w:tcBorders>
                  <w:vAlign w:val="center"/>
                </w:tcPr>
                <w:p>
                  <w:pPr>
                    <w:spacing w:line="240" w:lineRule="auto"/>
                    <w:jc w:val="center"/>
                  </w:pPr>
                  <w:r>
                    <w:t>油罐定期清洗</w:t>
                  </w:r>
                </w:p>
              </w:tc>
              <w:tc>
                <w:tcPr>
                  <w:tcW w:w="677" w:type="pct"/>
                  <w:tcBorders>
                    <w:tl2br w:val="nil"/>
                    <w:tr2bl w:val="nil"/>
                  </w:tcBorders>
                  <w:vAlign w:val="center"/>
                </w:tcPr>
                <w:p>
                  <w:pPr>
                    <w:spacing w:line="240" w:lineRule="auto"/>
                    <w:jc w:val="center"/>
                  </w:pPr>
                  <w:r>
                    <w:t>油罐定期清洗</w:t>
                  </w:r>
                </w:p>
              </w:tc>
              <w:tc>
                <w:tcPr>
                  <w:tcW w:w="803" w:type="pct"/>
                  <w:tcBorders>
                    <w:tl2br w:val="nil"/>
                    <w:tr2bl w:val="nil"/>
                  </w:tcBorders>
                  <w:vAlign w:val="center"/>
                </w:tcPr>
                <w:p>
                  <w:pPr>
                    <w:spacing w:line="240" w:lineRule="auto"/>
                    <w:jc w:val="center"/>
                  </w:pPr>
                  <w:r>
                    <w:t>废汽油</w:t>
                  </w:r>
                </w:p>
              </w:tc>
              <w:tc>
                <w:tcPr>
                  <w:tcW w:w="1408" w:type="pct"/>
                  <w:tcBorders>
                    <w:tl2br w:val="nil"/>
                    <w:tr2bl w:val="nil"/>
                  </w:tcBorders>
                  <w:vAlign w:val="center"/>
                </w:tcPr>
                <w:p>
                  <w:pPr>
                    <w:spacing w:line="240" w:lineRule="auto"/>
                    <w:jc w:val="center"/>
                  </w:pPr>
                  <w:r>
                    <w:t>交由有相应资质的危废处理单位进行处置，建立危险废物管理台账</w:t>
                  </w:r>
                </w:p>
              </w:tc>
              <w:tc>
                <w:tcPr>
                  <w:tcW w:w="1429" w:type="pct"/>
                  <w:tcBorders>
                    <w:tl2br w:val="nil"/>
                    <w:tr2bl w:val="nil"/>
                  </w:tcBorders>
                  <w:vAlign w:val="center"/>
                </w:tcPr>
                <w:p>
                  <w:pPr>
                    <w:pStyle w:val="28"/>
                  </w:pPr>
                  <w:r>
                    <w:t>交由河南思骏环保科技有限公司进行处置，建立危险废物管理台账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80" w:type="pct"/>
                  <w:vMerge w:val="restart"/>
                  <w:tcBorders>
                    <w:tl2br w:val="nil"/>
                    <w:tr2bl w:val="nil"/>
                  </w:tcBorders>
                  <w:vAlign w:val="center"/>
                </w:tcPr>
                <w:p>
                  <w:pPr>
                    <w:pStyle w:val="28"/>
                    <w:spacing w:before="0" w:beforeAutospacing="0"/>
                  </w:pPr>
                  <w:r>
                    <w:t>风险防范</w:t>
                  </w:r>
                </w:p>
              </w:tc>
              <w:tc>
                <w:tcPr>
                  <w:tcW w:w="2889" w:type="pct"/>
                  <w:gridSpan w:val="3"/>
                  <w:tcBorders>
                    <w:tl2br w:val="nil"/>
                    <w:tr2bl w:val="nil"/>
                  </w:tcBorders>
                  <w:vAlign w:val="center"/>
                </w:tcPr>
                <w:p>
                  <w:pPr>
                    <w:spacing w:line="240" w:lineRule="auto"/>
                    <w:jc w:val="center"/>
                    <w:rPr>
                      <w:lang w:eastAsia="zh-Hans"/>
                    </w:rPr>
                  </w:pPr>
                  <w:r>
                    <w:t>汽油防渗罐池2座，柴油防渗罐池2座，容积均为125m</w:t>
                  </w:r>
                  <w:r>
                    <w:rPr>
                      <w:vertAlign w:val="superscript"/>
                    </w:rPr>
                    <w:t>3</w:t>
                  </w:r>
                </w:p>
              </w:tc>
              <w:tc>
                <w:tcPr>
                  <w:tcW w:w="1429" w:type="pct"/>
                  <w:tcBorders>
                    <w:tl2br w:val="nil"/>
                    <w:tr2bl w:val="nil"/>
                  </w:tcBorders>
                  <w:vAlign w:val="center"/>
                </w:tcPr>
                <w:p>
                  <w:pPr>
                    <w:spacing w:line="240" w:lineRule="auto"/>
                    <w:jc w:val="center"/>
                    <w:rPr>
                      <w:lang w:eastAsia="zh-Hans"/>
                    </w:rPr>
                  </w:pPr>
                  <w:r>
                    <w:t>汽油防渗罐池</w:t>
                  </w:r>
                  <w:r>
                    <w:rPr>
                      <w:rFonts w:hint="eastAsia"/>
                      <w:lang w:val="en-US" w:eastAsia="zh-CN"/>
                    </w:rPr>
                    <w:t>3</w:t>
                  </w:r>
                  <w:r>
                    <w:t>座，容积均为</w:t>
                  </w:r>
                  <w:r>
                    <w:rPr>
                      <w:rFonts w:hint="eastAsia"/>
                      <w:lang w:val="en-US" w:eastAsia="zh-CN"/>
                    </w:rPr>
                    <w:t>125</w:t>
                  </w:r>
                  <w:r>
                    <w:t>m</w:t>
                  </w:r>
                  <w:r>
                    <w:rPr>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80" w:type="pct"/>
                  <w:vMerge w:val="continue"/>
                  <w:tcBorders>
                    <w:tl2br w:val="nil"/>
                    <w:tr2bl w:val="nil"/>
                  </w:tcBorders>
                  <w:vAlign w:val="center"/>
                </w:tcPr>
                <w:p>
                  <w:pPr>
                    <w:pStyle w:val="28"/>
                    <w:spacing w:before="0" w:beforeAutospacing="0"/>
                  </w:pPr>
                </w:p>
              </w:tc>
              <w:tc>
                <w:tcPr>
                  <w:tcW w:w="2889" w:type="pct"/>
                  <w:gridSpan w:val="3"/>
                  <w:tcBorders>
                    <w:tl2br w:val="nil"/>
                    <w:tr2bl w:val="nil"/>
                  </w:tcBorders>
                  <w:vAlign w:val="center"/>
                </w:tcPr>
                <w:p>
                  <w:pPr>
                    <w:spacing w:line="240" w:lineRule="auto"/>
                    <w:jc w:val="center"/>
                  </w:pPr>
                  <w:r>
                    <w:t>事故池1座，容积为20m</w:t>
                  </w:r>
                  <w:r>
                    <w:rPr>
                      <w:vertAlign w:val="superscript"/>
                    </w:rPr>
                    <w:t>3</w:t>
                  </w:r>
                </w:p>
              </w:tc>
              <w:tc>
                <w:tcPr>
                  <w:tcW w:w="1429" w:type="pct"/>
                  <w:tcBorders>
                    <w:tl2br w:val="nil"/>
                    <w:tr2bl w:val="nil"/>
                  </w:tcBorders>
                  <w:vAlign w:val="center"/>
                </w:tcPr>
                <w:p>
                  <w:pPr>
                    <w:spacing w:line="240" w:lineRule="auto"/>
                    <w:jc w:val="center"/>
                  </w:pPr>
                  <w:r>
                    <w:rPr>
                      <w:rFonts w:hint="eastAsia"/>
                      <w:lang w:eastAsia="zh-Hans"/>
                    </w:rPr>
                    <w:t>根据《汽车加油加气站设计与施工标准</w:t>
                  </w:r>
                  <w:r>
                    <w:rPr>
                      <w:lang w:eastAsia="zh-Hans"/>
                    </w:rPr>
                    <w:t>GB50156-2021</w:t>
                  </w:r>
                  <w:r>
                    <w:rPr>
                      <w:rFonts w:hint="eastAsia"/>
                      <w:lang w:eastAsia="zh-Hans"/>
                    </w:rPr>
                    <w:t>》，加油站可不设消防给水系统，灭火采用消防沙，本单位已配备消防沙箱，故未建设事故池。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80" w:type="pct"/>
                  <w:vMerge w:val="continue"/>
                  <w:tcBorders>
                    <w:tl2br w:val="nil"/>
                    <w:tr2bl w:val="nil"/>
                  </w:tcBorders>
                  <w:vAlign w:val="center"/>
                </w:tcPr>
                <w:p>
                  <w:pPr>
                    <w:pStyle w:val="28"/>
                    <w:spacing w:before="0" w:beforeAutospacing="0"/>
                  </w:pPr>
                </w:p>
              </w:tc>
              <w:tc>
                <w:tcPr>
                  <w:tcW w:w="2889" w:type="pct"/>
                  <w:gridSpan w:val="3"/>
                  <w:tcBorders>
                    <w:tl2br w:val="nil"/>
                    <w:tr2bl w:val="nil"/>
                  </w:tcBorders>
                  <w:vAlign w:val="center"/>
                </w:tcPr>
                <w:p>
                  <w:pPr>
                    <w:spacing w:line="240" w:lineRule="auto"/>
                    <w:jc w:val="center"/>
                  </w:pPr>
                  <w:r>
                    <w:t>每个油罐上设置1套带有高液位报警和渗漏检测功能的液体传感器（渗漏检测分辨率不宜大于0.8L/h，检测精度不应大于3.5mm），防渗罐池中设检测立管</w:t>
                  </w:r>
                </w:p>
              </w:tc>
              <w:tc>
                <w:tcPr>
                  <w:tcW w:w="1429" w:type="pct"/>
                  <w:tcBorders>
                    <w:tl2br w:val="nil"/>
                    <w:tr2bl w:val="nil"/>
                  </w:tcBorders>
                  <w:vAlign w:val="center"/>
                </w:tcPr>
                <w:p>
                  <w:pPr>
                    <w:spacing w:line="240" w:lineRule="auto"/>
                    <w:jc w:val="center"/>
                  </w:pPr>
                  <w:r>
                    <w:t>每个油罐上设置1套带有高液位报警和渗漏检测功能的液体传感器（渗漏检测分辨率不宜大于0.8L/h，检测精度不应大于3.5mm），防渗罐池中设检测立管</w:t>
                  </w:r>
                </w:p>
              </w:tc>
            </w:tr>
          </w:tbl>
          <w:p>
            <w:pPr>
              <w:numPr>
                <w:ilvl w:val="0"/>
                <w:numId w:val="1"/>
              </w:numPr>
              <w:ind w:left="0" w:leftChars="0" w:firstLine="0" w:firstLineChars="0"/>
              <w:textAlignment w:val="baseline"/>
            </w:pPr>
            <w:r>
              <w:t>厂区平面布置及监测点位图</w:t>
            </w:r>
          </w:p>
          <w:p>
            <w:pPr>
              <w:pStyle w:val="2"/>
              <w:widowControl w:val="0"/>
              <w:numPr>
                <w:numId w:val="0"/>
              </w:numPr>
              <w:adjustRightInd w:val="0"/>
              <w:snapToGrid/>
              <w:spacing w:after="120" w:line="360" w:lineRule="auto"/>
              <w:jc w:val="center"/>
            </w:pPr>
          </w:p>
          <w:p/>
          <w:p>
            <w:pPr>
              <w:pStyle w:val="2"/>
            </w:pPr>
          </w:p>
          <w:p/>
          <w:p>
            <w:pPr>
              <w:pStyle w:val="2"/>
            </w:pPr>
          </w:p>
          <w:p>
            <w:pPr>
              <w:pStyle w:val="32"/>
              <w:spacing w:line="240" w:lineRule="auto"/>
              <w:ind w:firstLine="0" w:firstLineChars="0"/>
            </w:pPr>
            <w:r>
              <w:drawing>
                <wp:inline distT="0" distB="0" distL="114300" distR="114300">
                  <wp:extent cx="4923155" cy="3505835"/>
                  <wp:effectExtent l="0" t="0" r="10795"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4923155" cy="3505835"/>
                          </a:xfrm>
                          <a:prstGeom prst="rect">
                            <a:avLst/>
                          </a:prstGeom>
                          <a:noFill/>
                          <a:ln>
                            <a:noFill/>
                          </a:ln>
                        </pic:spPr>
                      </pic:pic>
                    </a:graphicData>
                  </a:graphic>
                </wp:inline>
              </w:drawing>
            </w:r>
          </w:p>
          <w:p>
            <w:pPr>
              <w:pStyle w:val="46"/>
            </w:pPr>
            <w:r>
              <w:t>图</w:t>
            </w:r>
            <w:r>
              <w:rPr>
                <w:rFonts w:hint="eastAsia"/>
              </w:rPr>
              <w:t xml:space="preserve">5  </w:t>
            </w:r>
            <w:r>
              <w:t>本项目厂区平面及检测点位图</w:t>
            </w:r>
          </w:p>
          <w:p>
            <w:pPr>
              <w:textAlignment w:val="baseline"/>
            </w:pPr>
            <w:r>
              <w:rPr>
                <w:rFonts w:hint="eastAsia"/>
              </w:rPr>
              <w:t>6</w:t>
            </w:r>
            <w:r>
              <w:t>、项目变动情况</w:t>
            </w:r>
          </w:p>
          <w:p>
            <w:pPr>
              <w:ind w:firstLine="480" w:firstLineChars="200"/>
              <w:textAlignment w:val="baseline"/>
            </w:pPr>
            <w:r>
              <w:rPr>
                <w:rFonts w:hint="eastAsia"/>
              </w:rPr>
              <w:t>建设项目的性质、规模、地点、采用的生产工艺均与环评及批复内容一致，</w:t>
            </w:r>
            <w:r>
              <w:rPr>
                <w:rFonts w:hint="eastAsia"/>
                <w:lang w:eastAsia="zh-Hans"/>
              </w:rPr>
              <w:t>环评批复产能为年加L-CNG气1000万方、柴油</w:t>
            </w:r>
            <w:r>
              <w:rPr>
                <w:rFonts w:hint="default"/>
                <w:lang w:eastAsia="zh-Hans"/>
              </w:rPr>
              <w:t>5</w:t>
            </w:r>
            <w:r>
              <w:rPr>
                <w:rFonts w:hint="eastAsia"/>
                <w:lang w:eastAsia="zh-Hans"/>
              </w:rPr>
              <w:t>00吨、汽油</w:t>
            </w:r>
            <w:r>
              <w:rPr>
                <w:rFonts w:hint="default"/>
                <w:lang w:eastAsia="zh-Hans"/>
              </w:rPr>
              <w:t>20</w:t>
            </w:r>
            <w:r>
              <w:rPr>
                <w:rFonts w:hint="eastAsia"/>
                <w:lang w:eastAsia="zh-Hans"/>
              </w:rPr>
              <w:t>00吨，为迎合市场需要，本单位未开展加气</w:t>
            </w:r>
            <w:r>
              <w:rPr>
                <w:rFonts w:hint="eastAsia"/>
                <w:lang w:val="en-US" w:eastAsia="zh-Hans"/>
              </w:rPr>
              <w:t>和柴油</w:t>
            </w:r>
            <w:r>
              <w:rPr>
                <w:rFonts w:hint="eastAsia"/>
                <w:lang w:eastAsia="zh-Hans"/>
              </w:rPr>
              <w:t>业务，</w:t>
            </w:r>
            <w:r>
              <w:rPr>
                <w:rFonts w:hint="eastAsia"/>
              </w:rPr>
              <w:t>本单位取消加气</w:t>
            </w:r>
            <w:r>
              <w:rPr>
                <w:rFonts w:hint="eastAsia"/>
                <w:lang w:val="en-US" w:eastAsia="zh-Hans"/>
              </w:rPr>
              <w:t>和柴油</w:t>
            </w:r>
            <w:r>
              <w:rPr>
                <w:rFonts w:hint="eastAsia"/>
              </w:rPr>
              <w:t>业务，故所有加气设备均未建设</w:t>
            </w:r>
            <w:r>
              <w:rPr>
                <w:rFonts w:hint="eastAsia"/>
                <w:lang w:eastAsia="zh-Hans"/>
              </w:rPr>
              <w:t>，</w:t>
            </w:r>
            <w:r>
              <w:rPr>
                <w:rFonts w:hint="eastAsia"/>
                <w:lang w:val="en-US" w:eastAsia="zh-Hans"/>
              </w:rPr>
              <w:t>汽油储罐数量由</w:t>
            </w:r>
            <w:r>
              <w:rPr>
                <w:rFonts w:hint="default"/>
                <w:lang w:eastAsia="zh-Hans"/>
              </w:rPr>
              <w:t>2</w:t>
            </w:r>
            <w:r>
              <w:rPr>
                <w:rFonts w:hint="eastAsia"/>
                <w:lang w:val="en-US" w:eastAsia="zh-Hans"/>
              </w:rPr>
              <w:t>个增加为</w:t>
            </w:r>
            <w:r>
              <w:rPr>
                <w:rFonts w:hint="default"/>
                <w:lang w:eastAsia="zh-Hans"/>
              </w:rPr>
              <w:t>3</w:t>
            </w:r>
            <w:r>
              <w:rPr>
                <w:rFonts w:hint="eastAsia"/>
                <w:lang w:val="en-US" w:eastAsia="zh-Hans"/>
              </w:rPr>
              <w:t>个，四强加油机（汽油）数量由</w:t>
            </w:r>
            <w:r>
              <w:rPr>
                <w:rFonts w:hint="default"/>
                <w:lang w:eastAsia="zh-Hans"/>
              </w:rPr>
              <w:t>1</w:t>
            </w:r>
            <w:r>
              <w:rPr>
                <w:rFonts w:hint="eastAsia"/>
                <w:lang w:val="en-US" w:eastAsia="zh-Hans"/>
              </w:rPr>
              <w:t>个增加为</w:t>
            </w:r>
            <w:r>
              <w:rPr>
                <w:rFonts w:hint="default"/>
                <w:lang w:eastAsia="zh-Hans"/>
              </w:rPr>
              <w:t>3</w:t>
            </w:r>
            <w:r>
              <w:rPr>
                <w:rFonts w:hint="eastAsia"/>
                <w:lang w:val="en-US" w:eastAsia="zh-Hans"/>
              </w:rPr>
              <w:t>个，但年用油量不变，不影响总体产能</w:t>
            </w:r>
            <w:r>
              <w:rPr>
                <w:rFonts w:hint="eastAsia"/>
              </w:rPr>
              <w:t>。</w:t>
            </w:r>
            <w:r>
              <w:rPr>
                <w:rFonts w:hint="eastAsia"/>
                <w:lang w:eastAsia="zh-Hans"/>
              </w:rPr>
              <w:t>环评阶段提出</w:t>
            </w:r>
            <w:r>
              <w:rPr>
                <w:rFonts w:hint="eastAsia"/>
              </w:rPr>
              <w:t>新建</w:t>
            </w:r>
            <w:r>
              <w:t>20</w:t>
            </w:r>
            <w:r>
              <w:rPr>
                <w:rFonts w:hint="eastAsia"/>
              </w:rPr>
              <w:t>m</w:t>
            </w:r>
            <w:r>
              <w:t>3</w:t>
            </w:r>
            <w:r>
              <w:rPr>
                <w:rFonts w:hint="eastAsia"/>
              </w:rPr>
              <w:t>的</w:t>
            </w:r>
            <w:r>
              <w:rPr>
                <w:rFonts w:hint="eastAsia"/>
                <w:lang w:eastAsia="zh-Hans"/>
              </w:rPr>
              <w:t>事故池</w:t>
            </w:r>
            <w:r>
              <w:rPr>
                <w:rFonts w:hint="eastAsia"/>
              </w:rPr>
              <w:t>1座，根据《汽车加油加气站设计与施工标准GB50156-2021》，加油站可不设消防给水系统，灭火采用消防沙，本单位已配备消防沙箱，故未建设事故池。</w:t>
            </w:r>
          </w:p>
          <w:p>
            <w:pPr>
              <w:ind w:firstLine="480" w:firstLineChars="200"/>
              <w:textAlignment w:val="baseline"/>
            </w:pPr>
            <w:r>
              <w:rPr>
                <w:rFonts w:hint="eastAsia"/>
              </w:rPr>
              <w:t>本项目实际建设情况与《污染影响类建设项目重大变动清单（试行）的通知》（环办环评函[2020]688号）以下简称《通知》的对比分析：</w:t>
            </w:r>
          </w:p>
          <w:p>
            <w:pPr>
              <w:pStyle w:val="32"/>
              <w:ind w:firstLine="480"/>
            </w:pPr>
            <w:r>
              <w:t>表</w:t>
            </w:r>
            <w:r>
              <w:rPr>
                <w:rFonts w:hint="eastAsia"/>
              </w:rPr>
              <w:t>9                  本项目与《通知》的对比分析</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3"/>
              <w:gridCol w:w="4449"/>
              <w:gridCol w:w="1638"/>
              <w:gridCol w:w="132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15" w:type="pct"/>
                  <w:gridSpan w:val="2"/>
                  <w:tcBorders>
                    <w:tl2br w:val="nil"/>
                    <w:tr2bl w:val="nil"/>
                  </w:tcBorders>
                  <w:vAlign w:val="center"/>
                </w:tcPr>
                <w:p>
                  <w:pPr>
                    <w:spacing w:line="240" w:lineRule="auto"/>
                    <w:jc w:val="center"/>
                  </w:pPr>
                  <w:r>
                    <w:t>通知内容</w:t>
                  </w:r>
                </w:p>
              </w:tc>
              <w:tc>
                <w:tcPr>
                  <w:tcW w:w="986" w:type="pct"/>
                  <w:tcBorders>
                    <w:tl2br w:val="nil"/>
                    <w:tr2bl w:val="nil"/>
                  </w:tcBorders>
                  <w:vAlign w:val="center"/>
                </w:tcPr>
                <w:p>
                  <w:pPr>
                    <w:spacing w:line="240" w:lineRule="auto"/>
                    <w:jc w:val="center"/>
                  </w:pPr>
                  <w:r>
                    <w:t>本项目情况</w:t>
                  </w:r>
                </w:p>
              </w:tc>
              <w:tc>
                <w:tcPr>
                  <w:tcW w:w="798" w:type="pct"/>
                  <w:tcBorders>
                    <w:tl2br w:val="nil"/>
                    <w:tr2bl w:val="nil"/>
                  </w:tcBorders>
                  <w:vAlign w:val="center"/>
                </w:tcPr>
                <w:p>
                  <w:pPr>
                    <w:spacing w:line="240" w:lineRule="auto"/>
                    <w:jc w:val="center"/>
                  </w:pPr>
                  <w:r>
                    <w:rPr>
                      <w:rFonts w:hint="eastAsia"/>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tcBorders>
                    <w:tl2br w:val="nil"/>
                    <w:tr2bl w:val="nil"/>
                  </w:tcBorders>
                  <w:vAlign w:val="center"/>
                </w:tcPr>
                <w:p>
                  <w:pPr>
                    <w:spacing w:line="240" w:lineRule="auto"/>
                    <w:jc w:val="center"/>
                  </w:pPr>
                  <w:r>
                    <w:rPr>
                      <w:rFonts w:hint="eastAsia"/>
                    </w:rPr>
                    <w:t>性质</w:t>
                  </w:r>
                </w:p>
              </w:tc>
              <w:tc>
                <w:tcPr>
                  <w:tcW w:w="2676" w:type="pct"/>
                  <w:tcBorders>
                    <w:tl2br w:val="nil"/>
                    <w:tr2bl w:val="nil"/>
                  </w:tcBorders>
                  <w:vAlign w:val="center"/>
                </w:tcPr>
                <w:p>
                  <w:pPr>
                    <w:spacing w:line="240" w:lineRule="auto"/>
                  </w:pPr>
                  <w:r>
                    <w:rPr>
                      <w:rFonts w:hint="eastAsia"/>
                    </w:rPr>
                    <w:t>1、</w:t>
                  </w:r>
                  <w:r>
                    <w:t>建设项目开发、使用功能发生变化的</w:t>
                  </w:r>
                  <w:r>
                    <w:rPr>
                      <w:rFonts w:hint="eastAsia"/>
                    </w:rPr>
                    <w:t>。</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restart"/>
                  <w:tcBorders>
                    <w:tl2br w:val="nil"/>
                    <w:tr2bl w:val="nil"/>
                  </w:tcBorders>
                  <w:vAlign w:val="center"/>
                </w:tcPr>
                <w:p>
                  <w:pPr>
                    <w:spacing w:line="240" w:lineRule="auto"/>
                    <w:jc w:val="center"/>
                  </w:pPr>
                  <w:r>
                    <w:rPr>
                      <w:rFonts w:hint="eastAsia"/>
                    </w:rPr>
                    <w:t>规模</w:t>
                  </w:r>
                </w:p>
              </w:tc>
              <w:tc>
                <w:tcPr>
                  <w:tcW w:w="2676" w:type="pct"/>
                  <w:tcBorders>
                    <w:tl2br w:val="nil"/>
                    <w:tr2bl w:val="nil"/>
                  </w:tcBorders>
                  <w:vAlign w:val="center"/>
                </w:tcPr>
                <w:p>
                  <w:pPr>
                    <w:spacing w:line="240" w:lineRule="auto"/>
                  </w:pPr>
                  <w:r>
                    <w:rPr>
                      <w:rFonts w:hint="eastAsia"/>
                    </w:rPr>
                    <w:t>2、</w:t>
                  </w:r>
                  <w:r>
                    <w:t>生产、处置或储存能力增大30%及以上的</w:t>
                  </w:r>
                  <w:r>
                    <w:rPr>
                      <w:rFonts w:hint="eastAsia"/>
                    </w:rPr>
                    <w:t>。</w:t>
                  </w:r>
                </w:p>
              </w:tc>
              <w:tc>
                <w:tcPr>
                  <w:tcW w:w="986" w:type="pct"/>
                  <w:vMerge w:val="restart"/>
                  <w:tcBorders>
                    <w:tl2br w:val="nil"/>
                    <w:tr2bl w:val="nil"/>
                  </w:tcBorders>
                  <w:vAlign w:val="center"/>
                </w:tcPr>
                <w:p>
                  <w:pPr>
                    <w:spacing w:line="240" w:lineRule="auto"/>
                    <w:jc w:val="center"/>
                  </w:pPr>
                  <w:r>
                    <w:rPr>
                      <w:rFonts w:hint="eastAsia"/>
                    </w:rPr>
                    <w:t>无变动</w:t>
                  </w:r>
                </w:p>
              </w:tc>
              <w:tc>
                <w:tcPr>
                  <w:tcW w:w="798" w:type="pct"/>
                  <w:vMerge w:val="restart"/>
                  <w:tcBorders>
                    <w:tl2br w:val="nil"/>
                    <w:tr2bl w:val="nil"/>
                  </w:tcBorders>
                  <w:vAlign w:val="center"/>
                </w:tcPr>
                <w:p>
                  <w:pPr>
                    <w:spacing w:line="240" w:lineRule="auto"/>
                    <w:jc w:val="center"/>
                  </w:pPr>
                  <w:r>
                    <w:rPr>
                      <w:rFonts w:hint="eastAsia"/>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pPr>
                  <w:r>
                    <w:rPr>
                      <w:rFonts w:hint="eastAsia"/>
                    </w:rPr>
                    <w:t>3、</w:t>
                  </w:r>
                  <w:r>
                    <w:t>生产、处置或储存能力增大，导致废水第一类污染物排放量增加的</w:t>
                  </w:r>
                  <w:r>
                    <w:rPr>
                      <w:rFonts w:hint="eastAsia"/>
                    </w:rPr>
                    <w:t>。</w:t>
                  </w:r>
                </w:p>
              </w:tc>
              <w:tc>
                <w:tcPr>
                  <w:tcW w:w="986" w:type="pct"/>
                  <w:vMerge w:val="continue"/>
                  <w:tcBorders>
                    <w:tl2br w:val="nil"/>
                    <w:tr2bl w:val="nil"/>
                  </w:tcBorders>
                  <w:vAlign w:val="center"/>
                </w:tcPr>
                <w:p>
                  <w:pPr>
                    <w:spacing w:line="240" w:lineRule="auto"/>
                    <w:jc w:val="center"/>
                  </w:pPr>
                </w:p>
              </w:tc>
              <w:tc>
                <w:tcPr>
                  <w:tcW w:w="798" w:type="pct"/>
                  <w:vMerge w:val="continue"/>
                  <w:tcBorders>
                    <w:tl2br w:val="nil"/>
                    <w:tr2bl w:val="nil"/>
                  </w:tcBorders>
                  <w:vAlign w:val="center"/>
                </w:tcPr>
                <w:p>
                  <w:pPr>
                    <w:spacing w:line="240" w:lineRule="auto"/>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986" w:type="pct"/>
                  <w:vMerge w:val="continue"/>
                  <w:tcBorders>
                    <w:tl2br w:val="nil"/>
                    <w:tr2bl w:val="nil"/>
                  </w:tcBorders>
                  <w:vAlign w:val="center"/>
                </w:tcPr>
                <w:p>
                  <w:pPr>
                    <w:spacing w:line="240" w:lineRule="auto"/>
                    <w:jc w:val="center"/>
                  </w:pPr>
                </w:p>
              </w:tc>
              <w:tc>
                <w:tcPr>
                  <w:tcW w:w="798" w:type="pct"/>
                  <w:vMerge w:val="continue"/>
                  <w:tcBorders>
                    <w:tl2br w:val="nil"/>
                    <w:tr2bl w:val="nil"/>
                  </w:tcBorders>
                  <w:vAlign w:val="center"/>
                </w:tcPr>
                <w:p>
                  <w:pPr>
                    <w:spacing w:line="240" w:lineRule="auto"/>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tcBorders>
                    <w:tl2br w:val="nil"/>
                    <w:tr2bl w:val="nil"/>
                  </w:tcBorders>
                  <w:vAlign w:val="center"/>
                </w:tcPr>
                <w:p>
                  <w:pPr>
                    <w:spacing w:line="240" w:lineRule="auto"/>
                    <w:jc w:val="center"/>
                  </w:pPr>
                  <w:r>
                    <w:rPr>
                      <w:rFonts w:hint="eastAsia"/>
                    </w:rPr>
                    <w:t>地点</w:t>
                  </w:r>
                </w:p>
              </w:tc>
              <w:tc>
                <w:tcPr>
                  <w:tcW w:w="2676" w:type="pct"/>
                  <w:tcBorders>
                    <w:tl2br w:val="nil"/>
                    <w:tr2bl w:val="nil"/>
                  </w:tcBorders>
                  <w:vAlign w:val="center"/>
                </w:tcPr>
                <w:p>
                  <w:pPr>
                    <w:spacing w:line="240" w:lineRule="auto"/>
                  </w:pPr>
                  <w:r>
                    <w:rPr>
                      <w:rFonts w:hint="eastAsia"/>
                    </w:rPr>
                    <w:t>5、</w:t>
                  </w:r>
                  <w:r>
                    <w:t>重新选址；在原厂址附近调整（包括总平面布置变化）导致环境防护距离范围变化且新增敏感点的</w:t>
                  </w:r>
                  <w:r>
                    <w:rPr>
                      <w:rFonts w:hint="eastAsia"/>
                    </w:rPr>
                    <w:t>。</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restart"/>
                  <w:tcBorders>
                    <w:tl2br w:val="nil"/>
                    <w:tr2bl w:val="nil"/>
                  </w:tcBorders>
                  <w:vAlign w:val="center"/>
                </w:tcPr>
                <w:p>
                  <w:pPr>
                    <w:spacing w:line="240" w:lineRule="auto"/>
                    <w:jc w:val="center"/>
                  </w:pPr>
                  <w:r>
                    <w:rPr>
                      <w:rFonts w:hint="eastAsia"/>
                    </w:rPr>
                    <w:t>生产工艺</w:t>
                  </w:r>
                </w:p>
              </w:tc>
              <w:tc>
                <w:tcPr>
                  <w:tcW w:w="2676" w:type="pct"/>
                  <w:tcBorders>
                    <w:tl2br w:val="nil"/>
                    <w:tr2bl w:val="nil"/>
                  </w:tcBorders>
                  <w:vAlign w:val="center"/>
                </w:tcPr>
                <w:p>
                  <w:pPr>
                    <w:spacing w:line="240" w:lineRule="auto"/>
                    <w:jc w:val="both"/>
                  </w:pPr>
                  <w:r>
                    <w:rPr>
                      <w:rFonts w:hint="eastAsia"/>
                    </w:rPr>
                    <w:t>6、</w:t>
                  </w:r>
                  <w:r>
                    <w:t>新增产品品种或生产工艺（含主要生产装置、设备及配套设施）、主要原辅材料、燃料变化，导致以下情形之一：</w:t>
                  </w:r>
                </w:p>
                <w:p>
                  <w:pPr>
                    <w:spacing w:line="240" w:lineRule="auto"/>
                    <w:jc w:val="both"/>
                  </w:pPr>
                  <w:r>
                    <w:t>（1）新增排放污染物种类的（毒性、挥发性降低的除外）；</w:t>
                  </w:r>
                </w:p>
                <w:p>
                  <w:pPr>
                    <w:spacing w:line="240" w:lineRule="auto"/>
                    <w:jc w:val="both"/>
                  </w:pPr>
                  <w:r>
                    <w:t>（2）位于环境质量不达标区的建设项目相应污染物排放量增加的；</w:t>
                  </w:r>
                </w:p>
                <w:p>
                  <w:pPr>
                    <w:spacing w:line="240" w:lineRule="auto"/>
                    <w:jc w:val="both"/>
                  </w:pPr>
                  <w:r>
                    <w:t>（3）废水第一类污染物排放量增加的；</w:t>
                  </w:r>
                </w:p>
                <w:p>
                  <w:pPr>
                    <w:shd w:val="clear" w:color="auto" w:fill="FFFFFF"/>
                    <w:spacing w:line="240" w:lineRule="auto"/>
                    <w:jc w:val="both"/>
                  </w:pPr>
                  <w:r>
                    <w:t>（4）其他污染物排放量增加10%及以上的。</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tabs>
                      <w:tab w:val="left" w:pos="510"/>
                      <w:tab w:val="center" w:pos="1259"/>
                    </w:tabs>
                    <w:spacing w:line="240" w:lineRule="auto"/>
                    <w:jc w:val="center"/>
                  </w:pPr>
                  <w:r>
                    <w:rPr>
                      <w:rFonts w:hint="eastAsia"/>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7、</w:t>
                  </w:r>
                  <w:r>
                    <w:t>物料运输、装卸、贮存方式变化，导致大气污染物无组织排放量增加10%及以上的</w:t>
                  </w:r>
                  <w:r>
                    <w:rPr>
                      <w:rFonts w:hint="eastAsia"/>
                    </w:rPr>
                    <w:t>。</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restart"/>
                  <w:tcBorders>
                    <w:tl2br w:val="nil"/>
                    <w:tr2bl w:val="nil"/>
                  </w:tcBorders>
                  <w:vAlign w:val="center"/>
                </w:tcPr>
                <w:p>
                  <w:pPr>
                    <w:spacing w:line="240" w:lineRule="auto"/>
                    <w:jc w:val="center"/>
                  </w:pPr>
                  <w:r>
                    <w:rPr>
                      <w:rFonts w:hint="eastAsia"/>
                    </w:rPr>
                    <w:t>环境保护措施</w:t>
                  </w:r>
                </w:p>
              </w:tc>
              <w:tc>
                <w:tcPr>
                  <w:tcW w:w="2676" w:type="pct"/>
                  <w:tcBorders>
                    <w:tl2br w:val="nil"/>
                    <w:tr2bl w:val="nil"/>
                  </w:tcBorders>
                  <w:vAlign w:val="center"/>
                </w:tcPr>
                <w:p>
                  <w:pPr>
                    <w:spacing w:line="240" w:lineRule="auto"/>
                    <w:jc w:val="both"/>
                  </w:pPr>
                  <w:r>
                    <w:rPr>
                      <w:rFonts w:hint="eastAsia"/>
                    </w:rPr>
                    <w:t>8、</w:t>
                  </w:r>
                  <w:r>
                    <w:t>废气、废水污染防治措施变化，导致第6条中所列情形之一（废气无组织排放改为有组织排放、污染防治措施强化或改进的除外）或大气污染物无组织排放量增加10%及以上的。</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9、</w:t>
                  </w:r>
                  <w:r>
                    <w:t>新增废水直接排放口；废水由间接排放改为直接排放；废水直接排放口位置变化，导致不利环境影响加重的。</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10、</w:t>
                  </w:r>
                  <w:r>
                    <w:t>新增废气主要排放口（废气无组织排放改为有组织排放的除外）；主要排放口排气筒高度降低10%及以上的。</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11、</w:t>
                  </w:r>
                  <w:r>
                    <w:t>噪声、土壤或地下水污染防治措施变化，导致不利环境影响加重的。</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tabs>
                      <w:tab w:val="left" w:pos="510"/>
                      <w:tab w:val="center" w:pos="1259"/>
                    </w:tabs>
                    <w:spacing w:line="240" w:lineRule="auto"/>
                    <w:jc w:val="center"/>
                  </w:pPr>
                  <w:r>
                    <w:rPr>
                      <w:rFonts w:hint="eastAsia"/>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12、</w:t>
                  </w:r>
                  <w:r>
                    <w:t>固体废物利用处置方式由委托外单位利用处置改为自行利用处置的（自行利用处置设施单独开展环境影响评价的除外）；固体废物自行处置方式变化，导致不利环境影响加重的。</w:t>
                  </w:r>
                </w:p>
              </w:tc>
              <w:tc>
                <w:tcPr>
                  <w:tcW w:w="986" w:type="pct"/>
                  <w:tcBorders>
                    <w:tl2br w:val="nil"/>
                    <w:tr2bl w:val="nil"/>
                  </w:tcBorders>
                  <w:vAlign w:val="center"/>
                </w:tcPr>
                <w:p>
                  <w:pPr>
                    <w:spacing w:line="240" w:lineRule="auto"/>
                    <w:jc w:val="center"/>
                  </w:pPr>
                  <w:r>
                    <w:rPr>
                      <w:rFonts w:hint="eastAsia"/>
                    </w:rPr>
                    <w:t>无变动</w:t>
                  </w:r>
                </w:p>
              </w:tc>
              <w:tc>
                <w:tcPr>
                  <w:tcW w:w="798" w:type="pct"/>
                  <w:tcBorders>
                    <w:tl2br w:val="nil"/>
                    <w:tr2bl w:val="nil"/>
                  </w:tcBorders>
                  <w:vAlign w:val="center"/>
                </w:tcPr>
                <w:p>
                  <w:pPr>
                    <w:spacing w:line="240" w:lineRule="auto"/>
                    <w:jc w:val="center"/>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pct"/>
                  <w:vMerge w:val="continue"/>
                  <w:tcBorders>
                    <w:tl2br w:val="nil"/>
                    <w:tr2bl w:val="nil"/>
                  </w:tcBorders>
                  <w:vAlign w:val="center"/>
                </w:tcPr>
                <w:p>
                  <w:pPr>
                    <w:spacing w:line="240" w:lineRule="auto"/>
                    <w:jc w:val="center"/>
                  </w:pPr>
                </w:p>
              </w:tc>
              <w:tc>
                <w:tcPr>
                  <w:tcW w:w="2676" w:type="pct"/>
                  <w:tcBorders>
                    <w:tl2br w:val="nil"/>
                    <w:tr2bl w:val="nil"/>
                  </w:tcBorders>
                  <w:vAlign w:val="center"/>
                </w:tcPr>
                <w:p>
                  <w:pPr>
                    <w:spacing w:line="240" w:lineRule="auto"/>
                    <w:jc w:val="both"/>
                  </w:pPr>
                  <w:r>
                    <w:rPr>
                      <w:rFonts w:hint="eastAsia"/>
                    </w:rPr>
                    <w:t>13、</w:t>
                  </w:r>
                  <w:r>
                    <w:t>事故废水暂存能力或拦截设施变化，导致环境风险防范能力弱化或降低的。</w:t>
                  </w:r>
                </w:p>
              </w:tc>
              <w:tc>
                <w:tcPr>
                  <w:tcW w:w="986" w:type="pct"/>
                  <w:tcBorders>
                    <w:tl2br w:val="nil"/>
                    <w:tr2bl w:val="nil"/>
                  </w:tcBorders>
                  <w:vAlign w:val="center"/>
                </w:tcPr>
                <w:p>
                  <w:pPr>
                    <w:spacing w:line="240" w:lineRule="auto"/>
                    <w:jc w:val="center"/>
                    <w:rPr>
                      <w:lang w:eastAsia="zh-Hans"/>
                    </w:rPr>
                  </w:pPr>
                  <w:r>
                    <w:rPr>
                      <w:rFonts w:hint="eastAsia"/>
                      <w:lang w:eastAsia="zh-Hans"/>
                    </w:rPr>
                    <w:t>加气</w:t>
                  </w:r>
                  <w:r>
                    <w:rPr>
                      <w:rFonts w:hint="eastAsia"/>
                      <w:lang w:val="en-US" w:eastAsia="zh-CN"/>
                    </w:rPr>
                    <w:t>和柴油</w:t>
                  </w:r>
                  <w:r>
                    <w:rPr>
                      <w:rFonts w:hint="eastAsia"/>
                      <w:lang w:eastAsia="zh-Hans"/>
                    </w:rPr>
                    <w:t>业务取消，仅保留</w:t>
                  </w:r>
                  <w:r>
                    <w:rPr>
                      <w:rFonts w:hint="eastAsia"/>
                      <w:lang w:val="en-US" w:eastAsia="zh-CN"/>
                    </w:rPr>
                    <w:t>汽</w:t>
                  </w:r>
                  <w:r>
                    <w:rPr>
                      <w:rFonts w:hint="eastAsia"/>
                      <w:lang w:eastAsia="zh-Hans"/>
                    </w:rPr>
                    <w:t>油业务，加油站采用地埋式储罐，已配备消防沙，不产生事故水，故不会导致</w:t>
                  </w:r>
                  <w:r>
                    <w:t>环境风险防范能力弱化或降低。</w:t>
                  </w:r>
                </w:p>
              </w:tc>
              <w:tc>
                <w:tcPr>
                  <w:tcW w:w="798" w:type="pct"/>
                  <w:tcBorders>
                    <w:tl2br w:val="nil"/>
                    <w:tr2bl w:val="nil"/>
                  </w:tcBorders>
                  <w:vAlign w:val="center"/>
                </w:tcPr>
                <w:p>
                  <w:pPr>
                    <w:spacing w:line="240" w:lineRule="auto"/>
                    <w:jc w:val="center"/>
                  </w:pPr>
                  <w:r>
                    <w:t>不属于</w:t>
                  </w:r>
                </w:p>
              </w:tc>
            </w:tr>
          </w:tbl>
          <w:p>
            <w:pPr>
              <w:ind w:firstLine="480" w:firstLineChars="200"/>
              <w:textAlignment w:val="baseline"/>
            </w:pPr>
            <w:r>
              <w:rPr>
                <w:rFonts w:hint="eastAsia"/>
              </w:rPr>
              <w:t>根据上表对比结果可知，项目不属于重大变动，满足验收要求。</w:t>
            </w:r>
          </w:p>
          <w:p>
            <w:pPr>
              <w:pStyle w:val="2"/>
              <w:ind w:firstLine="240"/>
            </w:pPr>
          </w:p>
          <w:p/>
          <w:p>
            <w:pPr>
              <w:pStyle w:val="2"/>
              <w:ind w:firstLine="240"/>
            </w:pPr>
          </w:p>
          <w:p/>
          <w:p>
            <w:pPr>
              <w:pStyle w:val="2"/>
            </w:pPr>
          </w:p>
          <w:p/>
          <w:p>
            <w:pPr>
              <w:pStyle w:val="2"/>
            </w:pPr>
          </w:p>
          <w:p/>
          <w:p>
            <w:pPr>
              <w:pStyle w:val="2"/>
            </w:pPr>
          </w:p>
          <w:p/>
          <w:p>
            <w:pPr>
              <w:pStyle w:val="2"/>
            </w:pPr>
          </w:p>
          <w:p/>
          <w:p>
            <w:pPr>
              <w:pStyle w:val="2"/>
            </w:pPr>
          </w:p>
          <w:p/>
          <w:p>
            <w:pPr>
              <w:pStyle w:val="2"/>
            </w:pPr>
          </w:p>
          <w:p/>
          <w:p>
            <w:pPr>
              <w:pStyle w:val="2"/>
            </w:pPr>
          </w:p>
        </w:tc>
      </w:tr>
    </w:tbl>
    <w:p>
      <w:pPr>
        <w:spacing w:line="440" w:lineRule="exact"/>
        <w:rPr>
          <w:rFonts w:eastAsia="仿宋_GB2312"/>
          <w:b/>
          <w:szCs w:val="24"/>
        </w:rPr>
        <w:sectPr>
          <w:pgSz w:w="11906" w:h="16838"/>
          <w:pgMar w:top="1440" w:right="1800" w:bottom="1440" w:left="1800" w:header="708" w:footer="708" w:gutter="0"/>
          <w:pgNumType w:fmt="decimal"/>
          <w:cols w:space="720" w:num="1"/>
          <w:docGrid w:type="lines" w:linePitch="360" w:charSpace="0"/>
        </w:sectPr>
      </w:pPr>
    </w:p>
    <w:p>
      <w:pPr>
        <w:spacing w:line="440" w:lineRule="exact"/>
        <w:rPr>
          <w:rFonts w:eastAsia="仿宋_GB2312"/>
          <w:b/>
          <w:szCs w:val="24"/>
        </w:rPr>
      </w:pPr>
      <w:r>
        <w:rPr>
          <w:rFonts w:hint="eastAsia" w:eastAsia="仿宋_GB2312"/>
          <w:b/>
          <w:szCs w:val="24"/>
        </w:rPr>
        <w:t>表四</w:t>
      </w:r>
    </w:p>
    <w:tbl>
      <w:tblPr>
        <w:tblStyle w:val="15"/>
        <w:tblW w:w="0" w:type="auto"/>
        <w:tblInd w:w="-2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8765" w:type="dxa"/>
            <w:tcBorders>
              <w:tl2br w:val="nil"/>
              <w:tr2bl w:val="nil"/>
            </w:tcBorders>
          </w:tcPr>
          <w:p>
            <w:pPr>
              <w:rPr>
                <w:color w:val="000000"/>
                <w:szCs w:val="24"/>
              </w:rPr>
            </w:pPr>
            <w:r>
              <w:rPr>
                <w:color w:val="000000"/>
                <w:szCs w:val="24"/>
              </w:rPr>
              <w:t>建设项目环境影响报告表主要结论及审批部门审批决定：</w:t>
            </w:r>
          </w:p>
          <w:p>
            <w:pPr>
              <w:pStyle w:val="38"/>
              <w:spacing w:line="440" w:lineRule="exact"/>
              <w:ind w:firstLine="0"/>
              <w:rPr>
                <w:rFonts w:ascii="Times New Roman" w:hAnsi="Times New Roman" w:cs="宋体"/>
                <w:color w:val="000000" w:themeColor="text1"/>
                <w:sz w:val="24"/>
                <w:szCs w:val="24"/>
                <w14:textFill>
                  <w14:solidFill>
                    <w14:schemeClr w14:val="tx1"/>
                  </w14:solidFill>
                </w14:textFill>
              </w:rPr>
            </w:pPr>
            <w:r>
              <w:rPr>
                <w:rFonts w:hint="eastAsia" w:ascii="Times New Roman" w:hAnsi="Times New Roman" w:eastAsia="仿宋_GB2312"/>
                <w:b/>
                <w:sz w:val="24"/>
                <w:szCs w:val="24"/>
                <w:lang w:val="en-US" w:eastAsia="zh-CN"/>
              </w:rPr>
              <w:t>一</w:t>
            </w:r>
            <w:r>
              <w:rPr>
                <w:rFonts w:ascii="Times New Roman" w:hAnsi="Times New Roman" w:eastAsia="仿宋_GB2312"/>
                <w:b/>
                <w:sz w:val="24"/>
                <w:szCs w:val="24"/>
              </w:rPr>
              <w:t>、</w:t>
            </w:r>
            <w:r>
              <w:rPr>
                <w:rFonts w:ascii="Times New Roman" w:hAnsi="Times New Roman"/>
                <w:b/>
                <w:sz w:val="24"/>
                <w:szCs w:val="24"/>
              </w:rPr>
              <w:t>项目环境影响报告表主要结论</w:t>
            </w:r>
          </w:p>
          <w:p>
            <w:pPr>
              <w:pStyle w:val="38"/>
              <w:tabs>
                <w:tab w:val="left" w:pos="6607"/>
              </w:tabs>
              <w:snapToGrid w:val="0"/>
              <w:spacing w:line="460" w:lineRule="exact"/>
              <w:ind w:firstLine="482" w:firstLineChars="200"/>
              <w:rPr>
                <w:rFonts w:hint="eastAsia" w:ascii="宋体" w:hAnsi="宋体" w:eastAsia="宋体" w:cs="宋体"/>
                <w:b/>
                <w:sz w:val="24"/>
              </w:rPr>
            </w:pPr>
            <w:r>
              <w:rPr>
                <w:rFonts w:hint="eastAsia" w:ascii="宋体" w:hAnsi="宋体" w:eastAsia="宋体" w:cs="宋体"/>
                <w:b/>
                <w:sz w:val="24"/>
              </w:rPr>
              <w:t>1、项目符合国家产业政策要求</w:t>
            </w:r>
          </w:p>
          <w:p>
            <w:pPr>
              <w:spacing w:line="460" w:lineRule="exact"/>
              <w:ind w:firstLine="480" w:firstLineChars="200"/>
              <w:jc w:val="left"/>
              <w:rPr>
                <w:color w:val="auto"/>
                <w:sz w:val="24"/>
                <w:szCs w:val="24"/>
              </w:rPr>
            </w:pPr>
            <w:r>
              <w:rPr>
                <w:rFonts w:hint="eastAsia"/>
                <w:color w:val="auto"/>
                <w:sz w:val="24"/>
                <w:szCs w:val="24"/>
              </w:rPr>
              <w:t>对比</w:t>
            </w:r>
            <w:r>
              <w:rPr>
                <w:color w:val="auto"/>
                <w:sz w:val="24"/>
                <w:szCs w:val="24"/>
              </w:rPr>
              <w:t>《产业结构调整指导目录（2011年本）》（2013修订）</w:t>
            </w:r>
            <w:r>
              <w:rPr>
                <w:rFonts w:hint="eastAsia"/>
                <w:color w:val="auto"/>
                <w:sz w:val="24"/>
                <w:szCs w:val="24"/>
              </w:rPr>
              <w:t>，</w:t>
            </w:r>
            <w:r>
              <w:rPr>
                <w:color w:val="auto"/>
                <w:sz w:val="24"/>
                <w:szCs w:val="24"/>
              </w:rPr>
              <w:t>本项目</w:t>
            </w:r>
            <w:r>
              <w:rPr>
                <w:rFonts w:hint="eastAsia"/>
                <w:color w:val="auto"/>
                <w:sz w:val="24"/>
                <w:szCs w:val="24"/>
              </w:rPr>
              <w:t>符合第一类鼓励类第七条石油、天然气第3款（原油、天然气、液化天然气、成品油的储运和管道输送设施及网络建设），属于</w:t>
            </w:r>
            <w:r>
              <w:rPr>
                <w:color w:val="auto"/>
                <w:sz w:val="24"/>
                <w:szCs w:val="24"/>
              </w:rPr>
              <w:t>“</w:t>
            </w:r>
            <w:r>
              <w:rPr>
                <w:rFonts w:hint="eastAsia"/>
                <w:color w:val="auto"/>
                <w:sz w:val="24"/>
                <w:szCs w:val="24"/>
              </w:rPr>
              <w:t>鼓励</w:t>
            </w:r>
            <w:r>
              <w:rPr>
                <w:color w:val="auto"/>
                <w:sz w:val="24"/>
                <w:szCs w:val="24"/>
              </w:rPr>
              <w:t>类”</w:t>
            </w:r>
            <w:r>
              <w:rPr>
                <w:rFonts w:hint="eastAsia"/>
                <w:color w:val="auto"/>
                <w:sz w:val="24"/>
                <w:szCs w:val="24"/>
              </w:rPr>
              <w:t>。本</w:t>
            </w:r>
            <w:r>
              <w:rPr>
                <w:color w:val="auto"/>
                <w:sz w:val="24"/>
                <w:szCs w:val="24"/>
              </w:rPr>
              <w:t>项目已</w:t>
            </w:r>
            <w:r>
              <w:rPr>
                <w:rFonts w:hint="eastAsia"/>
                <w:color w:val="auto"/>
                <w:sz w:val="24"/>
                <w:szCs w:val="24"/>
              </w:rPr>
              <w:t>通过新乡高新技术产业开发区管理委员会经济发展局备案，项目编号为：</w:t>
            </w:r>
            <w:r>
              <w:rPr>
                <w:color w:val="auto"/>
                <w:sz w:val="24"/>
                <w:szCs w:val="24"/>
              </w:rPr>
              <w:t>豫新</w:t>
            </w:r>
            <w:r>
              <w:rPr>
                <w:rFonts w:hint="eastAsia"/>
                <w:color w:val="auto"/>
                <w:sz w:val="24"/>
                <w:szCs w:val="24"/>
              </w:rPr>
              <w:t>高新城建</w:t>
            </w:r>
            <w:r>
              <w:rPr>
                <w:rFonts w:ascii="宋体" w:hAnsi="宋体"/>
                <w:color w:val="auto"/>
                <w:sz w:val="24"/>
                <w:szCs w:val="24"/>
              </w:rPr>
              <w:t>[</w:t>
            </w:r>
            <w:r>
              <w:rPr>
                <w:color w:val="auto"/>
                <w:sz w:val="24"/>
                <w:szCs w:val="24"/>
              </w:rPr>
              <w:t>201</w:t>
            </w:r>
            <w:r>
              <w:rPr>
                <w:rFonts w:hint="eastAsia"/>
                <w:color w:val="auto"/>
                <w:sz w:val="24"/>
                <w:szCs w:val="24"/>
              </w:rPr>
              <w:t>7</w:t>
            </w:r>
            <w:r>
              <w:rPr>
                <w:rFonts w:hint="default" w:ascii="Times New Roman" w:hAnsi="Times New Roman" w:cs="Times New Roman"/>
                <w:color w:val="auto"/>
                <w:sz w:val="24"/>
                <w:szCs w:val="24"/>
              </w:rPr>
              <w:t>]35492。</w:t>
            </w:r>
          </w:p>
          <w:p>
            <w:pPr>
              <w:pStyle w:val="38"/>
              <w:tabs>
                <w:tab w:val="left" w:pos="6607"/>
              </w:tabs>
              <w:snapToGrid w:val="0"/>
              <w:spacing w:line="460" w:lineRule="exact"/>
              <w:ind w:firstLine="482" w:firstLineChars="200"/>
              <w:rPr>
                <w:rFonts w:hint="eastAsia" w:ascii="宋体" w:hAnsi="宋体" w:eastAsia="宋体" w:cs="宋体"/>
                <w:b/>
                <w:sz w:val="24"/>
              </w:rPr>
            </w:pPr>
            <w:r>
              <w:rPr>
                <w:rFonts w:hint="eastAsia" w:ascii="宋体" w:hAnsi="宋体" w:eastAsia="宋体" w:cs="宋体"/>
                <w:b/>
                <w:sz w:val="24"/>
              </w:rPr>
              <w:t>2、项目选址符合规划</w:t>
            </w:r>
          </w:p>
          <w:p>
            <w:pPr>
              <w:spacing w:line="460" w:lineRule="exact"/>
              <w:ind w:firstLine="480" w:firstLineChars="200"/>
              <w:jc w:val="left"/>
              <w:rPr>
                <w:color w:val="auto"/>
                <w:sz w:val="24"/>
                <w:szCs w:val="24"/>
              </w:rPr>
            </w:pPr>
            <w:r>
              <w:rPr>
                <w:rFonts w:hint="eastAsia"/>
                <w:color w:val="auto"/>
                <w:sz w:val="24"/>
                <w:szCs w:val="24"/>
              </w:rPr>
              <w:t>根据新乡市人民政府和新乡市国土资源局认可的土地证，本项目用地为街巷用地，使用权类型为划拨用地。根据《新乡市城乡规划委员会文件》（新规委[2017]5号）的第八条，同意新一中公交油气电综合站场平面规划方案。</w:t>
            </w:r>
          </w:p>
          <w:p>
            <w:pPr>
              <w:pStyle w:val="38"/>
              <w:tabs>
                <w:tab w:val="left" w:pos="6607"/>
              </w:tabs>
              <w:snapToGrid w:val="0"/>
              <w:spacing w:line="460" w:lineRule="exact"/>
              <w:ind w:firstLine="482" w:firstLineChars="200"/>
              <w:rPr>
                <w:rFonts w:hint="eastAsia" w:ascii="宋体" w:hAnsi="宋体" w:eastAsia="宋体" w:cs="宋体"/>
                <w:b/>
                <w:sz w:val="24"/>
              </w:rPr>
            </w:pPr>
            <w:r>
              <w:rPr>
                <w:rFonts w:hint="eastAsia" w:ascii="宋体" w:hAnsi="宋体" w:eastAsia="宋体" w:cs="宋体"/>
                <w:b/>
                <w:sz w:val="24"/>
              </w:rPr>
              <w:t>3、该项目营运过程中各项污染物经治理后能够达标排放，不会对周围环境产生大的影响</w:t>
            </w:r>
          </w:p>
          <w:p>
            <w:pPr>
              <w:spacing w:line="460" w:lineRule="exact"/>
              <w:ind w:firstLine="482" w:firstLineChars="200"/>
              <w:jc w:val="left"/>
              <w:rPr>
                <w:color w:val="000000"/>
                <w:sz w:val="24"/>
              </w:rPr>
            </w:pPr>
            <w:r>
              <w:rPr>
                <w:rFonts w:hint="eastAsia"/>
                <w:b/>
                <w:color w:val="auto"/>
                <w:sz w:val="24"/>
                <w:szCs w:val="24"/>
              </w:rPr>
              <w:t>废气：</w:t>
            </w:r>
            <w:r>
              <w:rPr>
                <w:rFonts w:hint="eastAsia"/>
                <w:color w:val="auto"/>
                <w:sz w:val="24"/>
                <w:szCs w:val="24"/>
              </w:rPr>
              <w:t>本</w:t>
            </w:r>
            <w:r>
              <w:rPr>
                <w:color w:val="auto"/>
                <w:sz w:val="24"/>
                <w:szCs w:val="24"/>
              </w:rPr>
              <w:t>项目</w:t>
            </w:r>
            <w:r>
              <w:rPr>
                <w:rFonts w:hint="eastAsia"/>
                <w:color w:val="auto"/>
                <w:sz w:val="24"/>
                <w:szCs w:val="24"/>
              </w:rPr>
              <w:t>加油加气站的</w:t>
            </w:r>
            <w:r>
              <w:rPr>
                <w:color w:val="auto"/>
                <w:sz w:val="24"/>
                <w:szCs w:val="24"/>
              </w:rPr>
              <w:t>甲烷排放量为</w:t>
            </w:r>
            <w:r>
              <w:rPr>
                <w:rFonts w:hint="eastAsia"/>
                <w:color w:val="auto"/>
                <w:sz w:val="24"/>
                <w:szCs w:val="24"/>
              </w:rPr>
              <w:t>0.065</w:t>
            </w:r>
            <w:r>
              <w:rPr>
                <w:color w:val="auto"/>
                <w:sz w:val="24"/>
                <w:szCs w:val="24"/>
              </w:rPr>
              <w:t>t/a，</w:t>
            </w:r>
            <w:r>
              <w:rPr>
                <w:rFonts w:hint="eastAsia"/>
                <w:color w:val="auto"/>
                <w:sz w:val="24"/>
                <w:szCs w:val="24"/>
              </w:rPr>
              <w:t>非甲烷总烃排放总量为1.932t/a。</w:t>
            </w:r>
            <w:r>
              <w:rPr>
                <w:color w:val="auto"/>
                <w:sz w:val="24"/>
                <w:szCs w:val="24"/>
              </w:rPr>
              <w:t>计算</w:t>
            </w:r>
            <w:r>
              <w:rPr>
                <w:rFonts w:hint="eastAsia"/>
                <w:color w:val="auto"/>
                <w:sz w:val="24"/>
                <w:szCs w:val="24"/>
              </w:rPr>
              <w:t>得出甲烷</w:t>
            </w:r>
            <w:r>
              <w:rPr>
                <w:color w:val="auto"/>
                <w:sz w:val="24"/>
                <w:szCs w:val="24"/>
              </w:rPr>
              <w:t>排放浓度为</w:t>
            </w:r>
            <w:r>
              <w:rPr>
                <w:rFonts w:hint="eastAsia"/>
                <w:color w:val="auto"/>
                <w:sz w:val="24"/>
                <w:szCs w:val="24"/>
              </w:rPr>
              <w:t>0.010</w:t>
            </w:r>
            <w:r>
              <w:rPr>
                <w:color w:val="auto"/>
                <w:sz w:val="24"/>
                <w:szCs w:val="24"/>
              </w:rPr>
              <w:t>mg/m</w:t>
            </w:r>
            <w:r>
              <w:rPr>
                <w:color w:val="auto"/>
                <w:sz w:val="24"/>
                <w:szCs w:val="24"/>
                <w:vertAlign w:val="superscript"/>
              </w:rPr>
              <w:t>3</w:t>
            </w:r>
            <w:r>
              <w:rPr>
                <w:rFonts w:hint="eastAsia"/>
                <w:color w:val="auto"/>
                <w:sz w:val="24"/>
                <w:szCs w:val="24"/>
              </w:rPr>
              <w:t>，</w:t>
            </w:r>
            <w:r>
              <w:rPr>
                <w:color w:val="auto"/>
                <w:sz w:val="24"/>
                <w:szCs w:val="24"/>
              </w:rPr>
              <w:t>非甲烷总烃排放浓度为</w:t>
            </w:r>
            <w:r>
              <w:rPr>
                <w:rFonts w:hint="eastAsia"/>
                <w:color w:val="auto"/>
                <w:sz w:val="24"/>
                <w:szCs w:val="24"/>
              </w:rPr>
              <w:t>0.306</w:t>
            </w:r>
            <w:r>
              <w:rPr>
                <w:color w:val="auto"/>
                <w:sz w:val="24"/>
                <w:szCs w:val="24"/>
              </w:rPr>
              <w:t>mg/m</w:t>
            </w:r>
            <w:r>
              <w:rPr>
                <w:color w:val="auto"/>
                <w:sz w:val="24"/>
                <w:szCs w:val="24"/>
                <w:vertAlign w:val="superscript"/>
              </w:rPr>
              <w:t>3</w:t>
            </w:r>
            <w:r>
              <w:rPr>
                <w:color w:val="auto"/>
                <w:sz w:val="24"/>
                <w:szCs w:val="24"/>
              </w:rPr>
              <w:t>，符合《大气污染物综合排放标准》（GB16297-1996）表2二级标准中</w:t>
            </w:r>
            <w:r>
              <w:rPr>
                <w:rFonts w:hint="eastAsia"/>
                <w:color w:val="auto"/>
                <w:sz w:val="24"/>
                <w:szCs w:val="24"/>
              </w:rPr>
              <w:t>周界外</w:t>
            </w:r>
            <w:r>
              <w:rPr>
                <w:color w:val="auto"/>
                <w:sz w:val="24"/>
                <w:szCs w:val="24"/>
              </w:rPr>
              <w:t>非甲烷总烃最高允许排放浓度4.0mg/m</w:t>
            </w:r>
            <w:r>
              <w:rPr>
                <w:color w:val="auto"/>
                <w:sz w:val="24"/>
                <w:szCs w:val="24"/>
                <w:vertAlign w:val="superscript"/>
              </w:rPr>
              <w:t>3</w:t>
            </w:r>
            <w:r>
              <w:rPr>
                <w:color w:val="auto"/>
                <w:sz w:val="24"/>
                <w:szCs w:val="24"/>
              </w:rPr>
              <w:t>的要求</w:t>
            </w:r>
            <w:r>
              <w:rPr>
                <w:rFonts w:hint="eastAsia"/>
                <w:color w:val="auto"/>
                <w:sz w:val="24"/>
                <w:szCs w:val="24"/>
              </w:rPr>
              <w:t>以及河南省环境污染防治攻坚战领导小组办公室文件（豫环攻坚办[2017] 162号）工业企业边界排放值：2.0</w:t>
            </w:r>
            <w:r>
              <w:rPr>
                <w:color w:val="auto"/>
                <w:sz w:val="24"/>
                <w:szCs w:val="24"/>
              </w:rPr>
              <w:t>mg/m</w:t>
            </w:r>
            <w:r>
              <w:rPr>
                <w:color w:val="auto"/>
                <w:sz w:val="24"/>
                <w:szCs w:val="24"/>
                <w:vertAlign w:val="superscript"/>
              </w:rPr>
              <w:t>3</w:t>
            </w:r>
            <w:r>
              <w:rPr>
                <w:rFonts w:hint="eastAsia"/>
                <w:color w:val="auto"/>
                <w:sz w:val="24"/>
                <w:szCs w:val="24"/>
              </w:rPr>
              <w:t>的要求，和</w:t>
            </w:r>
            <w:r>
              <w:rPr>
                <w:color w:val="auto"/>
                <w:sz w:val="24"/>
                <w:szCs w:val="24"/>
              </w:rPr>
              <w:t>《加油站大气污染物排放标准》(GB20952-2007)油气排放浓度</w:t>
            </w:r>
            <w:r>
              <w:rPr>
                <w:rFonts w:hint="eastAsia"/>
                <w:color w:val="auto"/>
                <w:sz w:val="24"/>
                <w:szCs w:val="24"/>
              </w:rPr>
              <w:t>≦</w:t>
            </w:r>
            <w:r>
              <w:rPr>
                <w:color w:val="auto"/>
                <w:sz w:val="24"/>
                <w:szCs w:val="24"/>
              </w:rPr>
              <w:t>25g/m</w:t>
            </w:r>
            <w:r>
              <w:rPr>
                <w:color w:val="auto"/>
                <w:sz w:val="24"/>
                <w:szCs w:val="24"/>
                <w:vertAlign w:val="superscript"/>
              </w:rPr>
              <w:t>3</w:t>
            </w:r>
            <w:r>
              <w:rPr>
                <w:rFonts w:hint="eastAsia"/>
                <w:color w:val="auto"/>
                <w:sz w:val="24"/>
                <w:szCs w:val="24"/>
              </w:rPr>
              <w:t>、</w:t>
            </w:r>
            <w:r>
              <w:rPr>
                <w:color w:val="auto"/>
                <w:sz w:val="24"/>
                <w:szCs w:val="24"/>
              </w:rPr>
              <w:t>排放口距地面高度不低于4m</w:t>
            </w:r>
            <w:r>
              <w:rPr>
                <w:rFonts w:hint="eastAsia"/>
                <w:color w:val="auto"/>
                <w:sz w:val="24"/>
                <w:szCs w:val="24"/>
              </w:rPr>
              <w:t>的标准要求</w:t>
            </w:r>
            <w:r>
              <w:rPr>
                <w:color w:val="auto"/>
                <w:sz w:val="24"/>
                <w:szCs w:val="24"/>
              </w:rPr>
              <w:t>。</w:t>
            </w:r>
          </w:p>
          <w:p>
            <w:pPr>
              <w:spacing w:line="460" w:lineRule="exact"/>
              <w:ind w:firstLine="482" w:firstLineChars="200"/>
              <w:jc w:val="left"/>
              <w:rPr>
                <w:color w:val="auto"/>
                <w:sz w:val="24"/>
              </w:rPr>
            </w:pPr>
            <w:r>
              <w:rPr>
                <w:rFonts w:hint="eastAsia"/>
                <w:b/>
                <w:color w:val="auto"/>
                <w:sz w:val="24"/>
              </w:rPr>
              <w:t>废水：</w:t>
            </w:r>
            <w:r>
              <w:rPr>
                <w:rFonts w:hint="eastAsia"/>
                <w:color w:val="auto"/>
                <w:sz w:val="24"/>
              </w:rPr>
              <w:t>本项目废水为生活污水，经化粪池处理后定期清运。</w:t>
            </w:r>
          </w:p>
          <w:p>
            <w:pPr>
              <w:pStyle w:val="38"/>
              <w:tabs>
                <w:tab w:val="left" w:pos="6607"/>
              </w:tabs>
              <w:snapToGrid w:val="0"/>
              <w:spacing w:line="460" w:lineRule="exact"/>
              <w:ind w:firstLine="482" w:firstLineChars="200"/>
              <w:rPr>
                <w:sz w:val="24"/>
              </w:rPr>
            </w:pPr>
            <w:r>
              <w:rPr>
                <w:rFonts w:hint="eastAsia"/>
                <w:b/>
                <w:sz w:val="24"/>
              </w:rPr>
              <w:t>噪声：</w:t>
            </w:r>
            <w:r>
              <w:rPr>
                <w:sz w:val="24"/>
              </w:rPr>
              <w:t>主要噪声设备为加气机、压缩机等，源强在7</w:t>
            </w:r>
            <w:r>
              <w:rPr>
                <w:rFonts w:hint="eastAsia"/>
                <w:sz w:val="24"/>
              </w:rPr>
              <w:t>0</w:t>
            </w:r>
            <w:r>
              <w:rPr>
                <w:sz w:val="24"/>
              </w:rPr>
              <w:t>-8</w:t>
            </w:r>
            <w:r>
              <w:rPr>
                <w:rFonts w:hint="eastAsia"/>
                <w:sz w:val="24"/>
              </w:rPr>
              <w:t>0</w:t>
            </w:r>
            <w:r>
              <w:rPr>
                <w:sz w:val="24"/>
              </w:rPr>
              <w:t>dB之间，采取减震隔音措施后，预测各厂界噪声能达到《工业企业厂界环境噪声排放标准》（GB12348-2008）</w:t>
            </w:r>
            <w:r>
              <w:rPr>
                <w:rFonts w:hint="eastAsia"/>
                <w:sz w:val="24"/>
              </w:rPr>
              <w:t>1</w:t>
            </w:r>
            <w:r>
              <w:rPr>
                <w:sz w:val="24"/>
              </w:rPr>
              <w:t>类昼间标准：</w:t>
            </w:r>
            <w:r>
              <w:rPr>
                <w:rFonts w:hint="eastAsia"/>
                <w:sz w:val="24"/>
              </w:rPr>
              <w:t>55</w:t>
            </w:r>
            <w:r>
              <w:rPr>
                <w:sz w:val="24"/>
              </w:rPr>
              <w:t>dB（A）。</w:t>
            </w:r>
          </w:p>
          <w:p>
            <w:pPr>
              <w:pStyle w:val="38"/>
              <w:tabs>
                <w:tab w:val="left" w:pos="6607"/>
              </w:tabs>
              <w:snapToGrid w:val="0"/>
              <w:spacing w:line="460" w:lineRule="exact"/>
              <w:ind w:firstLine="482" w:firstLineChars="200"/>
              <w:rPr>
                <w:sz w:val="24"/>
              </w:rPr>
            </w:pPr>
            <w:r>
              <w:rPr>
                <w:rFonts w:hint="eastAsia"/>
                <w:b/>
                <w:sz w:val="24"/>
              </w:rPr>
              <w:t>固废：</w:t>
            </w:r>
            <w:r>
              <w:rPr>
                <w:rFonts w:hint="eastAsia"/>
                <w:sz w:val="24"/>
              </w:rPr>
              <w:t>本项目产生的固废主要为油罐定期清洗产生的废柴油和废汽油，危废产生量为2t/a。经查《国家危险废物名录》（2016），油罐清洗产生的废柴油和废汽油属于HW08废矿物油与含矿物油废物。该部分危险废物应交由有相应资质的危废处理单位进行处置，油罐清洗由危废处理单位进行，清洗完成直接运走，不在站内暂存。评价要求项目按照《河南省危险废物规范化管理工作指南（试行））》（豫环文（2012）18号文）的相关要求，建立危险废物管理台账，如实记录相关信息并及时向所在地环境保护主管部门报告。</w:t>
            </w:r>
          </w:p>
          <w:p>
            <w:pPr>
              <w:spacing w:line="460" w:lineRule="exact"/>
              <w:ind w:firstLine="482" w:firstLineChars="200"/>
              <w:rPr>
                <w:color w:val="auto"/>
                <w:sz w:val="24"/>
                <w:szCs w:val="24"/>
              </w:rPr>
            </w:pPr>
            <w:r>
              <w:rPr>
                <w:rFonts w:hint="eastAsia" w:ascii="宋体" w:hAnsi="宋体" w:cs="宋体"/>
                <w:b/>
                <w:sz w:val="24"/>
                <w:lang w:val="en-US" w:eastAsia="zh-CN"/>
              </w:rPr>
              <w:t xml:space="preserve"> </w:t>
            </w:r>
            <w:r>
              <w:rPr>
                <w:color w:val="auto"/>
                <w:sz w:val="24"/>
                <w:szCs w:val="24"/>
              </w:rPr>
              <w:t>本项目环保投资总计</w:t>
            </w:r>
            <w:r>
              <w:rPr>
                <w:rFonts w:hint="eastAsia"/>
                <w:color w:val="auto"/>
                <w:sz w:val="24"/>
                <w:szCs w:val="24"/>
              </w:rPr>
              <w:t>20</w:t>
            </w:r>
            <w:r>
              <w:rPr>
                <w:color w:val="auto"/>
                <w:sz w:val="24"/>
                <w:szCs w:val="24"/>
              </w:rPr>
              <w:t>万元，其中</w:t>
            </w:r>
            <w:r>
              <w:rPr>
                <w:rFonts w:hint="eastAsia"/>
                <w:color w:val="auto"/>
                <w:sz w:val="24"/>
                <w:szCs w:val="24"/>
              </w:rPr>
              <w:t>2</w:t>
            </w:r>
            <w:r>
              <w:rPr>
                <w:color w:val="auto"/>
                <w:sz w:val="24"/>
                <w:szCs w:val="24"/>
              </w:rPr>
              <w:t>万元用于噪声的减振、密闭隔音</w:t>
            </w:r>
            <w:r>
              <w:rPr>
                <w:rFonts w:hint="eastAsia"/>
                <w:color w:val="auto"/>
                <w:sz w:val="24"/>
                <w:szCs w:val="24"/>
              </w:rPr>
              <w:t>，2万元用于废水处理，4万元用于油气回收系统建设，6万元用于危险废物处置，6万元用于风险防范。</w:t>
            </w:r>
            <w:r>
              <w:rPr>
                <w:color w:val="auto"/>
                <w:sz w:val="24"/>
                <w:szCs w:val="24"/>
              </w:rPr>
              <w:t>环保投资占项目总投资的</w:t>
            </w:r>
            <w:r>
              <w:rPr>
                <w:rFonts w:hint="eastAsia"/>
                <w:color w:val="auto"/>
                <w:sz w:val="24"/>
                <w:szCs w:val="24"/>
              </w:rPr>
              <w:t>3.33</w:t>
            </w:r>
            <w:r>
              <w:rPr>
                <w:color w:val="auto"/>
                <w:sz w:val="24"/>
                <w:szCs w:val="24"/>
              </w:rPr>
              <w:t>％。</w:t>
            </w:r>
          </w:p>
          <w:p>
            <w:pPr>
              <w:spacing w:line="460" w:lineRule="exact"/>
              <w:jc w:val="left"/>
              <w:rPr>
                <w:b/>
                <w:color w:val="auto"/>
                <w:sz w:val="24"/>
                <w:szCs w:val="24"/>
              </w:rPr>
            </w:pPr>
            <w:r>
              <w:rPr>
                <w:b/>
                <w:color w:val="auto"/>
                <w:sz w:val="24"/>
                <w:szCs w:val="24"/>
              </w:rPr>
              <w:t>二、建议</w:t>
            </w:r>
          </w:p>
          <w:p>
            <w:pPr>
              <w:pStyle w:val="38"/>
              <w:spacing w:line="460" w:lineRule="exact"/>
              <w:ind w:firstLine="600" w:firstLineChars="250"/>
              <w:jc w:val="left"/>
              <w:rPr>
                <w:sz w:val="24"/>
              </w:rPr>
            </w:pPr>
            <w:r>
              <w:rPr>
                <w:sz w:val="24"/>
              </w:rPr>
              <w:t>（1）建设单位应严格执行环保</w:t>
            </w:r>
            <w:r>
              <w:rPr>
                <w:rFonts w:hint="eastAsia"/>
                <w:sz w:val="24"/>
              </w:rPr>
              <w:t>“</w:t>
            </w:r>
            <w:r>
              <w:rPr>
                <w:sz w:val="24"/>
              </w:rPr>
              <w:t>三同时</w:t>
            </w:r>
            <w:r>
              <w:rPr>
                <w:rFonts w:hint="eastAsia"/>
                <w:sz w:val="24"/>
              </w:rPr>
              <w:t>”</w:t>
            </w:r>
            <w:r>
              <w:rPr>
                <w:sz w:val="24"/>
              </w:rPr>
              <w:t>制度，严格落实环保资金，确保各种污染物的达标排放。</w:t>
            </w:r>
          </w:p>
          <w:p>
            <w:pPr>
              <w:pStyle w:val="38"/>
              <w:spacing w:line="460" w:lineRule="exact"/>
              <w:ind w:firstLine="600" w:firstLineChars="250"/>
              <w:jc w:val="left"/>
              <w:rPr>
                <w:sz w:val="24"/>
              </w:rPr>
            </w:pPr>
            <w:r>
              <w:rPr>
                <w:sz w:val="24"/>
              </w:rPr>
              <w:t>（2）健全环保规章制度，加强对各种污染防治设施的运行管理，定期维护检修，确保其正常稳定运行。</w:t>
            </w:r>
          </w:p>
          <w:p>
            <w:pPr>
              <w:pStyle w:val="38"/>
              <w:spacing w:line="460" w:lineRule="exact"/>
              <w:ind w:firstLine="600" w:firstLineChars="250"/>
              <w:jc w:val="left"/>
              <w:rPr>
                <w:sz w:val="24"/>
              </w:rPr>
            </w:pPr>
            <w:r>
              <w:rPr>
                <w:rFonts w:hint="eastAsia"/>
                <w:sz w:val="24"/>
              </w:rPr>
              <w:t>（3）如</w:t>
            </w:r>
            <w:r>
              <w:rPr>
                <w:sz w:val="24"/>
              </w:rPr>
              <w:t>产品方案、工艺、设备、原辅材料消耗等生产情况有大的变动，应向有关部门及时申报。</w:t>
            </w:r>
          </w:p>
          <w:p>
            <w:pPr>
              <w:spacing w:line="460" w:lineRule="exact"/>
              <w:rPr>
                <w:b/>
                <w:color w:val="auto"/>
                <w:sz w:val="24"/>
              </w:rPr>
            </w:pPr>
            <w:r>
              <w:rPr>
                <w:b/>
                <w:color w:val="auto"/>
                <w:sz w:val="24"/>
              </w:rPr>
              <w:t>三、</w:t>
            </w:r>
            <w:bookmarkStart w:id="0" w:name="_Toc306089685"/>
            <w:r>
              <w:rPr>
                <w:b/>
                <w:color w:val="auto"/>
                <w:sz w:val="24"/>
              </w:rPr>
              <w:t>总结论</w:t>
            </w:r>
            <w:bookmarkEnd w:id="0"/>
          </w:p>
          <w:p>
            <w:pPr>
              <w:pStyle w:val="38"/>
              <w:spacing w:line="440" w:lineRule="exact"/>
              <w:ind w:firstLine="480" w:firstLineChars="200"/>
              <w:rPr>
                <w:rFonts w:ascii="Times New Roman" w:hAnsi="Times New Roman" w:cs="宋体"/>
                <w:color w:val="000000"/>
                <w:sz w:val="24"/>
                <w:szCs w:val="24"/>
                <w:highlight w:val="yellow"/>
              </w:rPr>
            </w:pPr>
            <w:r>
              <w:rPr>
                <w:rFonts w:hint="eastAsia"/>
                <w:sz w:val="24"/>
              </w:rPr>
              <w:t>新乡市豫海恒能源有限公司新一中加油加气站《新乡市公共交通总公司新一中公交油气站项目》</w:t>
            </w:r>
            <w:r>
              <w:rPr>
                <w:sz w:val="24"/>
              </w:rPr>
              <w:t>符合国家相关</w:t>
            </w:r>
            <w:r>
              <w:rPr>
                <w:rFonts w:hint="eastAsia"/>
                <w:sz w:val="24"/>
              </w:rPr>
              <w:t>产业</w:t>
            </w:r>
            <w:r>
              <w:rPr>
                <w:sz w:val="24"/>
              </w:rPr>
              <w:t>政策要求</w:t>
            </w:r>
            <w:r>
              <w:rPr>
                <w:rFonts w:hint="eastAsia"/>
                <w:sz w:val="24"/>
              </w:rPr>
              <w:t>。厂址所在地符合当地规划要求，选址可行。营运过程中产生的污染物经治理后均能够达标排放。建设单位应认真做好环评中提出的各项污染防治措施，确保各项污染物达标排放。从环保角度分析，该项目可行。</w:t>
            </w:r>
          </w:p>
          <w:p>
            <w:pPr>
              <w:pStyle w:val="38"/>
              <w:spacing w:line="440" w:lineRule="exact"/>
              <w:ind w:firstLine="0"/>
              <w:rPr>
                <w:rFonts w:ascii="Times New Roman" w:hAnsi="Times New Roman" w:cs="宋体"/>
                <w:color w:val="000000"/>
                <w:sz w:val="24"/>
                <w:szCs w:val="24"/>
                <w:highlight w:val="yellow"/>
              </w:rPr>
            </w:pPr>
          </w:p>
          <w:p>
            <w:pPr>
              <w:pStyle w:val="38"/>
              <w:spacing w:line="440" w:lineRule="exact"/>
              <w:ind w:firstLine="0"/>
              <w:rPr>
                <w:rFonts w:ascii="Times New Roman" w:hAnsi="Times New Roman" w:cs="宋体"/>
                <w:color w:val="000000"/>
                <w:sz w:val="24"/>
                <w:szCs w:val="24"/>
                <w:highlight w:val="yellow"/>
              </w:rPr>
            </w:pPr>
          </w:p>
          <w:p>
            <w:pPr>
              <w:pStyle w:val="38"/>
              <w:spacing w:line="440" w:lineRule="exact"/>
              <w:ind w:firstLine="0"/>
              <w:rPr>
                <w:rFonts w:ascii="Times New Roman" w:hAnsi="Times New Roman" w:cs="宋体"/>
                <w:color w:val="000000"/>
                <w:sz w:val="24"/>
                <w:szCs w:val="24"/>
                <w:highlight w:val="yellow"/>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b/>
                <w:bCs/>
                <w:color w:val="000000"/>
                <w:szCs w:val="24"/>
              </w:rPr>
            </w:pPr>
          </w:p>
          <w:p>
            <w:pPr>
              <w:rPr>
                <w:rFonts w:hint="eastAsia"/>
                <w:b/>
                <w:bCs/>
                <w:color w:val="000000"/>
                <w:szCs w:val="24"/>
                <w:lang w:val="en-US" w:eastAsia="zh-CN"/>
              </w:rPr>
            </w:pPr>
          </w:p>
          <w:p>
            <w:pPr>
              <w:rPr>
                <w:rFonts w:hint="eastAsia"/>
                <w:b/>
                <w:bCs/>
                <w:color w:val="000000"/>
                <w:szCs w:val="24"/>
                <w:lang w:val="en-US" w:eastAsia="zh-CN"/>
              </w:rPr>
            </w:pPr>
          </w:p>
          <w:p>
            <w:pPr>
              <w:rPr>
                <w:b/>
                <w:bCs/>
                <w:color w:val="000000"/>
                <w:szCs w:val="24"/>
              </w:rPr>
            </w:pPr>
            <w:r>
              <w:rPr>
                <w:rFonts w:hint="eastAsia"/>
                <w:b/>
                <w:bCs/>
                <w:color w:val="000000"/>
                <w:szCs w:val="24"/>
                <w:lang w:val="en-US" w:eastAsia="zh-CN"/>
              </w:rPr>
              <w:t>二</w:t>
            </w:r>
            <w:r>
              <w:rPr>
                <w:b/>
                <w:bCs/>
                <w:color w:val="000000"/>
                <w:szCs w:val="24"/>
              </w:rPr>
              <w:t>、审批部门的决定</w:t>
            </w:r>
          </w:p>
          <w:p>
            <w:pPr>
              <w:rPr>
                <w:color w:val="000000"/>
                <w:szCs w:val="24"/>
              </w:rPr>
            </w:pPr>
            <w:r>
              <w:rPr>
                <w:rFonts w:hint="eastAsia"/>
                <w:color w:val="000000"/>
                <w:szCs w:val="24"/>
              </w:rPr>
              <w:t>审批意见：</w:t>
            </w:r>
          </w:p>
          <w:p>
            <w:pPr>
              <w:jc w:val="right"/>
              <w:rPr>
                <w:color w:val="000000"/>
                <w:szCs w:val="24"/>
              </w:rPr>
            </w:pPr>
            <w:r>
              <w:rPr>
                <w:rFonts w:hint="eastAsia"/>
                <w:color w:val="000000"/>
                <w:szCs w:val="24"/>
              </w:rPr>
              <w:t xml:space="preserve"> 新高综监字[2018]0</w:t>
            </w:r>
            <w:r>
              <w:rPr>
                <w:rFonts w:hint="eastAsia"/>
                <w:color w:val="000000"/>
                <w:szCs w:val="24"/>
                <w:lang w:val="en-US" w:eastAsia="zh-CN"/>
              </w:rPr>
              <w:t>1</w:t>
            </w:r>
            <w:r>
              <w:rPr>
                <w:rFonts w:hint="eastAsia"/>
                <w:color w:val="000000"/>
                <w:szCs w:val="24"/>
              </w:rPr>
              <w:t xml:space="preserve">号 </w:t>
            </w:r>
          </w:p>
          <w:p>
            <w:pPr>
              <w:jc w:val="center"/>
              <w:rPr>
                <w:rFonts w:hint="eastAsia"/>
                <w:color w:val="000000"/>
                <w:szCs w:val="24"/>
                <w:highlight w:val="none"/>
              </w:rPr>
            </w:pPr>
            <w:r>
              <w:rPr>
                <w:rFonts w:hint="eastAsia"/>
                <w:color w:val="000000"/>
                <w:szCs w:val="24"/>
                <w:highlight w:val="none"/>
              </w:rPr>
              <w:t>关于新乡市公共交通总公司新</w:t>
            </w:r>
            <w:r>
              <w:rPr>
                <w:rFonts w:hint="eastAsia"/>
                <w:color w:val="000000"/>
                <w:szCs w:val="24"/>
                <w:highlight w:val="none"/>
                <w:lang w:val="en-US" w:eastAsia="zh-CN"/>
              </w:rPr>
              <w:t>一</w:t>
            </w:r>
            <w:r>
              <w:rPr>
                <w:rFonts w:hint="eastAsia"/>
                <w:color w:val="000000"/>
                <w:szCs w:val="24"/>
                <w:highlight w:val="none"/>
              </w:rPr>
              <w:t>中公交油气站项目</w:t>
            </w:r>
          </w:p>
          <w:p>
            <w:pPr>
              <w:jc w:val="center"/>
              <w:rPr>
                <w:rFonts w:hint="eastAsia"/>
                <w:color w:val="000000"/>
                <w:szCs w:val="24"/>
                <w:highlight w:val="none"/>
              </w:rPr>
            </w:pPr>
            <w:r>
              <w:rPr>
                <w:rFonts w:hint="eastAsia"/>
                <w:color w:val="000000"/>
                <w:szCs w:val="24"/>
                <w:highlight w:val="none"/>
              </w:rPr>
              <w:t>环境影响报告表的批复意见</w:t>
            </w:r>
          </w:p>
          <w:p>
            <w:pPr>
              <w:jc w:val="left"/>
              <w:rPr>
                <w:color w:val="000000"/>
                <w:szCs w:val="24"/>
                <w:highlight w:val="none"/>
              </w:rPr>
            </w:pPr>
            <w:r>
              <w:rPr>
                <w:rFonts w:hint="eastAsia"/>
                <w:color w:val="000000"/>
                <w:szCs w:val="24"/>
                <w:highlight w:val="none"/>
              </w:rPr>
              <w:t>根据环评结论，经研究批复如下:</w:t>
            </w:r>
          </w:p>
          <w:p>
            <w:pPr>
              <w:ind w:firstLine="480" w:firstLineChars="200"/>
              <w:rPr>
                <w:rFonts w:hint="eastAsia"/>
                <w:color w:val="000000"/>
                <w:szCs w:val="24"/>
                <w:highlight w:val="none"/>
              </w:rPr>
            </w:pPr>
            <w:r>
              <w:rPr>
                <w:rFonts w:hint="eastAsia"/>
                <w:color w:val="000000"/>
                <w:szCs w:val="24"/>
                <w:highlight w:val="none"/>
              </w:rPr>
              <w:t>同意新乡市豫海恒能源有限公司拟投资600万元在我区柳青路与新二街东南角建设新乡市公共交通总公司新- -中公交油气站项目。该项目选址可行。</w:t>
            </w:r>
          </w:p>
          <w:p>
            <w:pPr>
              <w:ind w:firstLine="480" w:firstLineChars="200"/>
              <w:jc w:val="both"/>
              <w:rPr>
                <w:color w:val="000000"/>
                <w:szCs w:val="24"/>
                <w:highlight w:val="none"/>
              </w:rPr>
            </w:pPr>
            <w:r>
              <w:rPr>
                <w:rFonts w:hint="eastAsia"/>
                <w:color w:val="000000"/>
                <w:szCs w:val="24"/>
                <w:highlight w:val="none"/>
              </w:rPr>
              <w:t>1、废水:本项目废水为生活污水，经化粪池处理后定期清运。</w:t>
            </w:r>
          </w:p>
          <w:p>
            <w:pPr>
              <w:ind w:firstLine="480" w:firstLineChars="200"/>
              <w:rPr>
                <w:color w:val="000000"/>
                <w:szCs w:val="24"/>
              </w:rPr>
            </w:pPr>
            <w:r>
              <w:rPr>
                <w:rFonts w:hint="eastAsia"/>
                <w:color w:val="000000"/>
                <w:szCs w:val="24"/>
                <w:highlight w:val="none"/>
              </w:rPr>
              <w:t>2、废气:本项目应加装汽油油气回收装置，废气的排放浓度应符合《大气污染物综合排放标准》(GB16297-1996)表2二级标准以及河南省环境污染防治攻坚战领导小组办公室文件(豫环攻坚办[2017]162号)要求，和《加油站大气污染物排放标准》(GB20952-2007)油气排放浓度</w:t>
            </w:r>
            <w:r>
              <w:rPr>
                <w:rFonts w:ascii="Arial" w:hAnsi="Arial" w:cs="Arial"/>
                <w:color w:val="000000"/>
                <w:szCs w:val="24"/>
                <w:highlight w:val="none"/>
              </w:rPr>
              <w:t>≤</w:t>
            </w:r>
            <w:r>
              <w:rPr>
                <w:rFonts w:hint="eastAsia"/>
                <w:color w:val="000000"/>
                <w:szCs w:val="24"/>
                <w:highlight w:val="none"/>
              </w:rPr>
              <w:t>25</w:t>
            </w:r>
            <w:r>
              <w:rPr>
                <w:rFonts w:hint="eastAsia"/>
                <w:color w:val="000000"/>
                <w:szCs w:val="24"/>
              </w:rPr>
              <w:t>g/m</w:t>
            </w:r>
            <w:r>
              <w:rPr>
                <w:rFonts w:hint="eastAsia"/>
                <w:color w:val="000000"/>
                <w:szCs w:val="24"/>
                <w:vertAlign w:val="superscript"/>
              </w:rPr>
              <w:t>3</w:t>
            </w:r>
            <w:r>
              <w:rPr>
                <w:rFonts w:hint="eastAsia"/>
                <w:color w:val="000000"/>
                <w:szCs w:val="24"/>
              </w:rPr>
              <w:t>排放口距地面高度不低于4m的标准要求。</w:t>
            </w:r>
          </w:p>
          <w:p>
            <w:pPr>
              <w:ind w:firstLine="480" w:firstLineChars="200"/>
              <w:rPr>
                <w:color w:val="000000"/>
                <w:szCs w:val="24"/>
              </w:rPr>
            </w:pPr>
            <w:r>
              <w:rPr>
                <w:rFonts w:hint="eastAsia"/>
                <w:color w:val="000000"/>
                <w:szCs w:val="24"/>
              </w:rPr>
              <w:t>3、噪声:本项目噪声设备为加气机、压缩机等，采取减震隔音措施后，应满足</w:t>
            </w:r>
          </w:p>
          <w:p>
            <w:pPr>
              <w:rPr>
                <w:color w:val="000000"/>
                <w:szCs w:val="24"/>
              </w:rPr>
            </w:pPr>
            <w:r>
              <w:rPr>
                <w:rFonts w:hint="eastAsia"/>
                <w:color w:val="000000"/>
                <w:szCs w:val="24"/>
              </w:rPr>
              <w:t>《工业企业厂界环境噪声排放标准》(GB12348-2008)</w:t>
            </w:r>
            <w:r>
              <w:rPr>
                <w:rFonts w:hint="eastAsia"/>
                <w:color w:val="000000"/>
                <w:szCs w:val="24"/>
                <w:lang w:val="en-US" w:eastAsia="zh-CN"/>
              </w:rPr>
              <w:t>1</w:t>
            </w:r>
            <w:r>
              <w:rPr>
                <w:rFonts w:hint="eastAsia"/>
                <w:color w:val="000000"/>
                <w:szCs w:val="24"/>
              </w:rPr>
              <w:t>类的标准要求。</w:t>
            </w:r>
          </w:p>
          <w:p>
            <w:pPr>
              <w:ind w:firstLine="480" w:firstLineChars="200"/>
              <w:rPr>
                <w:color w:val="000000"/>
                <w:szCs w:val="24"/>
              </w:rPr>
            </w:pPr>
            <w:r>
              <w:rPr>
                <w:rFonts w:hint="eastAsia"/>
                <w:color w:val="000000"/>
                <w:szCs w:val="24"/>
              </w:rPr>
              <w:t>4、固废:本项目产生的固体废物主要为油罐定期清洗产生的废柴油和废汽油，该部分危废交由有资质的危废单位进行处置，油罐清洗由危废处理单位进行，清洗完成直接运走，不在站内暂存。</w:t>
            </w:r>
          </w:p>
          <w:p>
            <w:pPr>
              <w:ind w:firstLine="480" w:firstLineChars="200"/>
              <w:rPr>
                <w:rFonts w:hint="eastAsia"/>
                <w:color w:val="000000"/>
                <w:szCs w:val="24"/>
              </w:rPr>
            </w:pPr>
            <w:r>
              <w:rPr>
                <w:rFonts w:hint="eastAsia"/>
                <w:color w:val="000000"/>
                <w:szCs w:val="24"/>
              </w:rPr>
              <w:t>5、项目投入运行三个月内，经我局验收合格方可正式投入生产。</w:t>
            </w:r>
          </w:p>
          <w:p>
            <w:pPr>
              <w:pStyle w:val="2"/>
            </w:pPr>
          </w:p>
          <w:p>
            <w:pPr>
              <w:ind w:right="480"/>
              <w:jc w:val="right"/>
              <w:rPr>
                <w:color w:val="000000"/>
                <w:szCs w:val="24"/>
                <w:lang w:eastAsia="zh-Hans"/>
              </w:rPr>
            </w:pPr>
          </w:p>
          <w:p>
            <w:pPr>
              <w:ind w:right="480"/>
              <w:jc w:val="right"/>
              <w:rPr>
                <w:color w:val="000000"/>
                <w:szCs w:val="24"/>
                <w:lang w:eastAsia="zh-Hans"/>
              </w:rPr>
            </w:pPr>
          </w:p>
          <w:p>
            <w:pPr>
              <w:ind w:right="480"/>
              <w:jc w:val="right"/>
              <w:rPr>
                <w:color w:val="000000"/>
                <w:szCs w:val="24"/>
                <w:lang w:eastAsia="zh-Hans"/>
              </w:rPr>
            </w:pPr>
          </w:p>
          <w:p>
            <w:pPr>
              <w:ind w:right="480"/>
              <w:jc w:val="right"/>
              <w:rPr>
                <w:color w:val="000000"/>
                <w:szCs w:val="24"/>
                <w:lang w:eastAsia="zh-Hans"/>
              </w:rPr>
            </w:pPr>
          </w:p>
          <w:p>
            <w:pPr>
              <w:ind w:right="480"/>
              <w:jc w:val="right"/>
              <w:rPr>
                <w:color w:val="000000"/>
                <w:szCs w:val="24"/>
                <w:lang w:eastAsia="zh-Hans"/>
              </w:rPr>
            </w:pPr>
            <w:r>
              <w:rPr>
                <w:rFonts w:hint="eastAsia"/>
                <w:color w:val="000000"/>
                <w:szCs w:val="24"/>
                <w:lang w:eastAsia="zh-Hans"/>
              </w:rPr>
              <w:t>新乡高新技术产业开发区管理委员会</w:t>
            </w:r>
          </w:p>
          <w:p>
            <w:pPr>
              <w:ind w:right="480"/>
              <w:jc w:val="right"/>
              <w:rPr>
                <w:color w:val="000000"/>
                <w:szCs w:val="24"/>
                <w:lang w:eastAsia="zh-Hans"/>
              </w:rPr>
            </w:pPr>
            <w:r>
              <w:rPr>
                <w:rFonts w:hint="eastAsia"/>
                <w:color w:val="000000"/>
                <w:szCs w:val="24"/>
                <w:lang w:eastAsia="zh-Hans"/>
              </w:rPr>
              <w:t>综合监管和执法局</w:t>
            </w:r>
          </w:p>
          <w:p>
            <w:pPr>
              <w:ind w:right="480"/>
              <w:jc w:val="right"/>
              <w:rPr>
                <w:color w:val="000000"/>
                <w:szCs w:val="24"/>
              </w:rPr>
            </w:pPr>
            <w:r>
              <w:rPr>
                <w:rFonts w:hint="eastAsia"/>
                <w:color w:val="000000"/>
                <w:szCs w:val="24"/>
              </w:rPr>
              <w:t>20</w:t>
            </w:r>
            <w:r>
              <w:rPr>
                <w:color w:val="000000"/>
                <w:szCs w:val="24"/>
              </w:rPr>
              <w:t>18</w:t>
            </w:r>
            <w:r>
              <w:rPr>
                <w:rFonts w:hint="eastAsia"/>
                <w:color w:val="000000"/>
                <w:szCs w:val="24"/>
              </w:rPr>
              <w:t>年</w:t>
            </w:r>
            <w:r>
              <w:rPr>
                <w:color w:val="000000"/>
                <w:szCs w:val="24"/>
              </w:rPr>
              <w:t>1</w:t>
            </w:r>
            <w:r>
              <w:rPr>
                <w:rFonts w:hint="eastAsia"/>
                <w:color w:val="000000"/>
                <w:szCs w:val="24"/>
              </w:rPr>
              <w:t>月</w:t>
            </w:r>
            <w:r>
              <w:rPr>
                <w:color w:val="000000"/>
                <w:szCs w:val="24"/>
              </w:rPr>
              <w:t>31</w:t>
            </w:r>
            <w:r>
              <w:rPr>
                <w:rFonts w:hint="eastAsia"/>
                <w:color w:val="000000"/>
                <w:szCs w:val="24"/>
              </w:rPr>
              <w:t>日</w:t>
            </w:r>
          </w:p>
          <w:p>
            <w:pPr>
              <w:ind w:firstLine="480" w:firstLineChars="200"/>
              <w:rPr>
                <w:color w:val="000000"/>
                <w:szCs w:val="24"/>
                <w:highlight w:val="yellow"/>
              </w:rPr>
            </w:pPr>
          </w:p>
          <w:p>
            <w:pPr>
              <w:ind w:firstLine="480" w:firstLineChars="200"/>
              <w:rPr>
                <w:color w:val="000000"/>
                <w:szCs w:val="24"/>
                <w:highlight w:val="yellow"/>
              </w:rPr>
            </w:pPr>
          </w:p>
          <w:p>
            <w:pPr>
              <w:rPr>
                <w:color w:val="000000"/>
                <w:szCs w:val="24"/>
              </w:rPr>
            </w:pPr>
            <w:r>
              <w:rPr>
                <w:rFonts w:hint="eastAsia"/>
                <w:color w:val="000000"/>
                <w:szCs w:val="24"/>
              </w:rPr>
              <w:t>3、本项目落实环评批复情况</w:t>
            </w:r>
          </w:p>
          <w:p>
            <w:pPr>
              <w:ind w:firstLine="480" w:firstLineChars="200"/>
              <w:jc w:val="both"/>
              <w:textAlignment w:val="baseline"/>
              <w:rPr>
                <w:rFonts w:eastAsia="黑体"/>
                <w:bCs/>
                <w:color w:val="000000"/>
                <w:szCs w:val="24"/>
              </w:rPr>
            </w:pPr>
            <w:r>
              <w:rPr>
                <w:rFonts w:eastAsia="黑体"/>
                <w:bCs/>
                <w:color w:val="000000"/>
                <w:szCs w:val="24"/>
              </w:rPr>
              <w:t>表</w:t>
            </w:r>
            <w:r>
              <w:rPr>
                <w:rFonts w:hint="eastAsia" w:eastAsia="黑体"/>
                <w:bCs/>
                <w:color w:val="000000"/>
                <w:szCs w:val="24"/>
              </w:rPr>
              <w:t>10                  本项目</w:t>
            </w:r>
            <w:r>
              <w:rPr>
                <w:rFonts w:eastAsia="黑体"/>
                <w:bCs/>
                <w:color w:val="000000"/>
                <w:szCs w:val="24"/>
              </w:rPr>
              <w:t>落实环评批复情况</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1"/>
              <w:gridCol w:w="163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911" w:type="dxa"/>
                  <w:tcBorders>
                    <w:tl2br w:val="nil"/>
                    <w:tr2bl w:val="nil"/>
                  </w:tcBorders>
                  <w:vAlign w:val="center"/>
                </w:tcPr>
                <w:p>
                  <w:pPr>
                    <w:pStyle w:val="35"/>
                    <w:rPr>
                      <w:rFonts w:hint="eastAsia"/>
                      <w:b/>
                      <w:bCs/>
                      <w:sz w:val="21"/>
                    </w:rPr>
                  </w:pPr>
                  <w:r>
                    <w:rPr>
                      <w:rFonts w:hint="eastAsia"/>
                      <w:b/>
                      <w:bCs/>
                      <w:sz w:val="21"/>
                    </w:rPr>
                    <w:t>关于新乡市公共交通总公司新</w:t>
                  </w:r>
                  <w:r>
                    <w:rPr>
                      <w:rFonts w:hint="eastAsia"/>
                      <w:b/>
                      <w:bCs/>
                      <w:sz w:val="21"/>
                      <w:lang w:val="en-US" w:eastAsia="zh-CN"/>
                    </w:rPr>
                    <w:t>一</w:t>
                  </w:r>
                  <w:r>
                    <w:rPr>
                      <w:rFonts w:hint="eastAsia"/>
                      <w:b/>
                      <w:bCs/>
                      <w:sz w:val="21"/>
                    </w:rPr>
                    <w:t>中公交油气站项目</w:t>
                  </w:r>
                </w:p>
                <w:p>
                  <w:pPr>
                    <w:pStyle w:val="35"/>
                    <w:rPr>
                      <w:b/>
                      <w:bCs/>
                      <w:sz w:val="21"/>
                    </w:rPr>
                  </w:pPr>
                  <w:r>
                    <w:rPr>
                      <w:rFonts w:hint="eastAsia"/>
                      <w:b/>
                      <w:bCs/>
                      <w:sz w:val="21"/>
                    </w:rPr>
                    <w:t>环境影响报告表的批复意见</w:t>
                  </w:r>
                </w:p>
              </w:tc>
              <w:tc>
                <w:tcPr>
                  <w:tcW w:w="1638" w:type="dxa"/>
                  <w:tcBorders>
                    <w:tl2br w:val="nil"/>
                    <w:tr2bl w:val="nil"/>
                  </w:tcBorders>
                  <w:vAlign w:val="center"/>
                </w:tcPr>
                <w:p>
                  <w:pPr>
                    <w:pStyle w:val="35"/>
                    <w:rPr>
                      <w:b/>
                      <w:bCs/>
                      <w:sz w:val="21"/>
                    </w:rPr>
                  </w:pPr>
                  <w:r>
                    <w:rPr>
                      <w:b/>
                      <w:bCs/>
                      <w:sz w:val="21"/>
                    </w:rPr>
                    <w:t>落实情况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1" w:type="dxa"/>
                  <w:tcBorders>
                    <w:tl2br w:val="nil"/>
                    <w:tr2bl w:val="nil"/>
                  </w:tcBorders>
                  <w:vAlign w:val="center"/>
                </w:tcPr>
                <w:p>
                  <w:pPr>
                    <w:pStyle w:val="35"/>
                    <w:jc w:val="left"/>
                    <w:rPr>
                      <w:sz w:val="21"/>
                    </w:rPr>
                  </w:pPr>
                  <w:r>
                    <w:rPr>
                      <w:rFonts w:hint="eastAsia"/>
                      <w:sz w:val="21"/>
                    </w:rPr>
                    <w:t>同意新乡市豫海恒能源有限公司拟投资600万元在我区柳青路与新二街东南角建设新乡市公共交通总公司新- -中公交油气站项目。该项目选址可行。</w:t>
                  </w:r>
                </w:p>
              </w:tc>
              <w:tc>
                <w:tcPr>
                  <w:tcW w:w="1638" w:type="dxa"/>
                  <w:tcBorders>
                    <w:tl2br w:val="nil"/>
                    <w:tr2bl w:val="nil"/>
                  </w:tcBorders>
                  <w:vAlign w:val="center"/>
                </w:tcPr>
                <w:p>
                  <w:pPr>
                    <w:pStyle w:val="35"/>
                    <w:rPr>
                      <w:sz w:val="21"/>
                    </w:rPr>
                  </w:pPr>
                  <w:r>
                    <w:rPr>
                      <w:sz w:val="21"/>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1" w:type="dxa"/>
                  <w:tcBorders>
                    <w:tl2br w:val="nil"/>
                    <w:tr2bl w:val="nil"/>
                  </w:tcBorders>
                  <w:vAlign w:val="center"/>
                </w:tcPr>
                <w:p>
                  <w:pPr>
                    <w:pStyle w:val="35"/>
                    <w:jc w:val="left"/>
                    <w:rPr>
                      <w:sz w:val="21"/>
                    </w:rPr>
                  </w:pPr>
                  <w:r>
                    <w:rPr>
                      <w:rFonts w:hint="eastAsia"/>
                      <w:sz w:val="21"/>
                    </w:rPr>
                    <w:t>1、废水:本项目废水为生活污水，经化粪池处理后定期清运。</w:t>
                  </w:r>
                </w:p>
              </w:tc>
              <w:tc>
                <w:tcPr>
                  <w:tcW w:w="1638" w:type="dxa"/>
                  <w:tcBorders>
                    <w:tl2br w:val="nil"/>
                    <w:tr2bl w:val="nil"/>
                  </w:tcBorders>
                  <w:vAlign w:val="center"/>
                </w:tcPr>
                <w:p>
                  <w:pPr>
                    <w:pStyle w:val="35"/>
                    <w:rPr>
                      <w:sz w:val="21"/>
                    </w:rPr>
                  </w:pPr>
                  <w:r>
                    <w:rPr>
                      <w:sz w:val="21"/>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1" w:type="dxa"/>
                  <w:tcBorders>
                    <w:tl2br w:val="nil"/>
                    <w:tr2bl w:val="nil"/>
                  </w:tcBorders>
                  <w:vAlign w:val="center"/>
                </w:tcPr>
                <w:p>
                  <w:pPr>
                    <w:pStyle w:val="35"/>
                    <w:jc w:val="left"/>
                    <w:rPr>
                      <w:sz w:val="21"/>
                    </w:rPr>
                  </w:pPr>
                  <w:r>
                    <w:rPr>
                      <w:rFonts w:hint="eastAsia"/>
                      <w:sz w:val="21"/>
                    </w:rPr>
                    <w:t>2、废气:本项目应加装汽油油气回收装置，废气的排放浓度应符合《大气污染物综合排放标准》(GB16297-1996)表2二级标准以及河南省环境污染防治攻坚战领导小组办公室文件(豫环攻坚办[2017]162号)要求，和《加油站大气污染物排放标准》(GB20952-2007)油气排放浓度≤25g/m</w:t>
                  </w:r>
                  <w:r>
                    <w:rPr>
                      <w:rFonts w:hint="eastAsia"/>
                      <w:sz w:val="21"/>
                      <w:vertAlign w:val="superscript"/>
                    </w:rPr>
                    <w:t>3</w:t>
                  </w:r>
                  <w:r>
                    <w:rPr>
                      <w:rFonts w:hint="eastAsia"/>
                      <w:sz w:val="21"/>
                    </w:rPr>
                    <w:t>排放口距地面高度不低于4m的标准要求。</w:t>
                  </w:r>
                </w:p>
              </w:tc>
              <w:tc>
                <w:tcPr>
                  <w:tcW w:w="1638" w:type="dxa"/>
                  <w:tcBorders>
                    <w:tl2br w:val="nil"/>
                    <w:tr2bl w:val="nil"/>
                  </w:tcBorders>
                  <w:vAlign w:val="center"/>
                </w:tcPr>
                <w:p>
                  <w:pPr>
                    <w:pStyle w:val="35"/>
                    <w:rPr>
                      <w:sz w:val="21"/>
                    </w:rPr>
                  </w:pPr>
                  <w:r>
                    <w:rPr>
                      <w:sz w:val="21"/>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1" w:type="dxa"/>
                  <w:tcBorders>
                    <w:tl2br w:val="nil"/>
                    <w:tr2bl w:val="nil"/>
                  </w:tcBorders>
                  <w:vAlign w:val="center"/>
                </w:tcPr>
                <w:p>
                  <w:pPr>
                    <w:pStyle w:val="35"/>
                    <w:jc w:val="left"/>
                    <w:rPr>
                      <w:sz w:val="21"/>
                    </w:rPr>
                  </w:pPr>
                  <w:r>
                    <w:rPr>
                      <w:rFonts w:hint="eastAsia"/>
                      <w:sz w:val="21"/>
                    </w:rPr>
                    <w:t>3、噪声:本项目噪声设备为加气机、压缩机等，采取减震隔音措施后，应满足《工业企业厂界环境噪声排放标准》(GB12348-2008)</w:t>
                  </w:r>
                  <w:r>
                    <w:rPr>
                      <w:rFonts w:hint="eastAsia"/>
                      <w:sz w:val="21"/>
                      <w:lang w:val="en-US" w:eastAsia="zh-CN"/>
                    </w:rPr>
                    <w:t>1</w:t>
                  </w:r>
                  <w:r>
                    <w:rPr>
                      <w:rFonts w:hint="eastAsia"/>
                      <w:sz w:val="21"/>
                    </w:rPr>
                    <w:t>类的标准要求。</w:t>
                  </w:r>
                </w:p>
              </w:tc>
              <w:tc>
                <w:tcPr>
                  <w:tcW w:w="1638" w:type="dxa"/>
                  <w:tcBorders>
                    <w:tl2br w:val="nil"/>
                    <w:tr2bl w:val="nil"/>
                  </w:tcBorders>
                  <w:vAlign w:val="center"/>
                </w:tcPr>
                <w:p>
                  <w:pPr>
                    <w:pStyle w:val="35"/>
                    <w:rPr>
                      <w:sz w:val="21"/>
                    </w:rPr>
                  </w:pPr>
                  <w:r>
                    <w:rPr>
                      <w:sz w:val="21"/>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1" w:type="dxa"/>
                  <w:tcBorders>
                    <w:tl2br w:val="nil"/>
                    <w:tr2bl w:val="nil"/>
                  </w:tcBorders>
                  <w:vAlign w:val="center"/>
                </w:tcPr>
                <w:p>
                  <w:pPr>
                    <w:pStyle w:val="35"/>
                    <w:jc w:val="left"/>
                    <w:rPr>
                      <w:sz w:val="21"/>
                    </w:rPr>
                  </w:pPr>
                  <w:r>
                    <w:rPr>
                      <w:rFonts w:hint="eastAsia"/>
                      <w:sz w:val="21"/>
                    </w:rPr>
                    <w:t>4、固废:本项目产生的固体废物主要为油罐定期清洗产生的废柴油和废汽油，该部分危废交由有资质的危废单位进行处置，油罐清洗由危废处理单位进行，清洗完成直接运走，不在站内暂存。</w:t>
                  </w:r>
                </w:p>
              </w:tc>
              <w:tc>
                <w:tcPr>
                  <w:tcW w:w="1638" w:type="dxa"/>
                  <w:tcBorders>
                    <w:tl2br w:val="nil"/>
                    <w:tr2bl w:val="nil"/>
                  </w:tcBorders>
                  <w:vAlign w:val="center"/>
                </w:tcPr>
                <w:p>
                  <w:pPr>
                    <w:pStyle w:val="35"/>
                    <w:rPr>
                      <w:sz w:val="21"/>
                    </w:rPr>
                  </w:pPr>
                  <w:r>
                    <w:rPr>
                      <w:sz w:val="21"/>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1" w:type="dxa"/>
                  <w:tcBorders>
                    <w:tl2br w:val="nil"/>
                    <w:tr2bl w:val="nil"/>
                  </w:tcBorders>
                  <w:vAlign w:val="center"/>
                </w:tcPr>
                <w:p>
                  <w:pPr>
                    <w:pStyle w:val="35"/>
                    <w:jc w:val="left"/>
                    <w:rPr>
                      <w:sz w:val="21"/>
                    </w:rPr>
                  </w:pPr>
                  <w:r>
                    <w:rPr>
                      <w:rFonts w:hint="eastAsia"/>
                      <w:sz w:val="21"/>
                    </w:rPr>
                    <w:t>5、项目投入运行三个月内，经我局验收合格方可正式投入生产。</w:t>
                  </w:r>
                </w:p>
              </w:tc>
              <w:tc>
                <w:tcPr>
                  <w:tcW w:w="1638" w:type="dxa"/>
                  <w:tcBorders>
                    <w:tl2br w:val="nil"/>
                    <w:tr2bl w:val="nil"/>
                  </w:tcBorders>
                  <w:vAlign w:val="center"/>
                </w:tcPr>
                <w:p>
                  <w:pPr>
                    <w:pStyle w:val="35"/>
                    <w:rPr>
                      <w:sz w:val="21"/>
                    </w:rPr>
                  </w:pPr>
                  <w:r>
                    <w:rPr>
                      <w:sz w:val="21"/>
                    </w:rPr>
                    <w:t>已落实</w:t>
                  </w:r>
                </w:p>
              </w:tc>
            </w:tr>
          </w:tbl>
          <w:p>
            <w:pPr>
              <w:rPr>
                <w:rFonts w:eastAsia="仿宋_GB2312"/>
                <w:color w:val="000000"/>
                <w:szCs w:val="24"/>
                <w:highlight w:val="yellow"/>
              </w:rPr>
            </w:pPr>
          </w:p>
          <w:p>
            <w:pPr>
              <w:rPr>
                <w:rFonts w:eastAsia="仿宋_GB2312"/>
                <w:color w:val="000000"/>
                <w:szCs w:val="24"/>
                <w:highlight w:val="yellow"/>
              </w:rPr>
            </w:pPr>
          </w:p>
          <w:p>
            <w:pPr>
              <w:rPr>
                <w:rFonts w:eastAsia="仿宋_GB2312"/>
                <w:color w:val="000000"/>
                <w:szCs w:val="24"/>
                <w:highlight w:val="yellow"/>
              </w:rPr>
            </w:pPr>
          </w:p>
          <w:p>
            <w:pPr>
              <w:rPr>
                <w:rFonts w:eastAsia="仿宋_GB2312"/>
                <w:color w:val="000000"/>
                <w:szCs w:val="24"/>
                <w:highlight w:val="yellow"/>
              </w:rPr>
            </w:pPr>
          </w:p>
          <w:p>
            <w:pPr>
              <w:rPr>
                <w:rFonts w:eastAsia="仿宋_GB2312"/>
                <w:color w:val="000000"/>
                <w:szCs w:val="24"/>
                <w:highlight w:val="yellow"/>
              </w:rPr>
            </w:pPr>
          </w:p>
          <w:p>
            <w:pPr>
              <w:rPr>
                <w:rFonts w:eastAsia="仿宋_GB2312"/>
                <w:color w:val="000000"/>
                <w:szCs w:val="24"/>
                <w:highlight w:val="yellow"/>
              </w:rPr>
            </w:pPr>
          </w:p>
          <w:p>
            <w:pPr>
              <w:rPr>
                <w:rFonts w:eastAsia="仿宋_GB2312"/>
                <w:color w:val="000000"/>
                <w:szCs w:val="24"/>
                <w:highlight w:val="yellow"/>
              </w:rPr>
            </w:pPr>
          </w:p>
          <w:p>
            <w:pPr>
              <w:pStyle w:val="2"/>
              <w:ind w:firstLine="240"/>
              <w:rPr>
                <w:rFonts w:eastAsia="仿宋_GB2312"/>
                <w:color w:val="000000"/>
                <w:szCs w:val="24"/>
                <w:highlight w:val="yellow"/>
              </w:rPr>
            </w:pPr>
          </w:p>
          <w:p>
            <w:pPr>
              <w:rPr>
                <w:rFonts w:eastAsia="仿宋_GB2312"/>
                <w:color w:val="000000"/>
                <w:szCs w:val="24"/>
                <w:highlight w:val="yellow"/>
              </w:rPr>
            </w:pPr>
          </w:p>
          <w:p>
            <w:pPr>
              <w:pStyle w:val="2"/>
              <w:ind w:firstLine="240"/>
              <w:rPr>
                <w:rFonts w:eastAsia="仿宋_GB2312"/>
                <w:color w:val="000000"/>
                <w:szCs w:val="24"/>
                <w:highlight w:val="yellow"/>
              </w:rPr>
            </w:pPr>
          </w:p>
          <w:p>
            <w:pPr>
              <w:rPr>
                <w:rFonts w:eastAsia="仿宋_GB2312"/>
                <w:color w:val="000000"/>
                <w:szCs w:val="24"/>
                <w:highlight w:val="yellow"/>
              </w:rPr>
            </w:pPr>
          </w:p>
          <w:p>
            <w:pPr>
              <w:pStyle w:val="2"/>
              <w:ind w:firstLine="240"/>
              <w:rPr>
                <w:rFonts w:eastAsia="仿宋_GB2312"/>
                <w:color w:val="000000"/>
                <w:szCs w:val="24"/>
                <w:highlight w:val="yellow"/>
              </w:rPr>
            </w:pPr>
          </w:p>
          <w:p/>
          <w:p>
            <w:pPr>
              <w:rPr>
                <w:rFonts w:eastAsia="仿宋_GB2312"/>
                <w:color w:val="000000"/>
                <w:szCs w:val="24"/>
                <w:highlight w:val="yellow"/>
              </w:rPr>
            </w:pPr>
          </w:p>
          <w:p>
            <w:pPr>
              <w:rPr>
                <w:rFonts w:eastAsia="仿宋_GB2312"/>
                <w:color w:val="000000"/>
                <w:szCs w:val="24"/>
                <w:highlight w:val="yellow"/>
              </w:rPr>
            </w:pPr>
          </w:p>
        </w:tc>
      </w:tr>
    </w:tbl>
    <w:p>
      <w:pPr>
        <w:spacing w:line="440" w:lineRule="exact"/>
        <w:rPr>
          <w:rFonts w:eastAsia="仿宋_GB2312"/>
          <w:b/>
          <w:szCs w:val="24"/>
        </w:rPr>
        <w:sectPr>
          <w:pgSz w:w="11906" w:h="16838"/>
          <w:pgMar w:top="1440" w:right="1800" w:bottom="1440" w:left="1800" w:header="708" w:footer="708" w:gutter="0"/>
          <w:pgNumType w:fmt="decimal"/>
          <w:cols w:space="720" w:num="1"/>
          <w:docGrid w:type="lines" w:linePitch="360" w:charSpace="0"/>
        </w:sectPr>
      </w:pPr>
    </w:p>
    <w:p>
      <w:pPr>
        <w:spacing w:line="440" w:lineRule="exact"/>
        <w:rPr>
          <w:rFonts w:eastAsia="仿宋_GB2312"/>
          <w:b/>
          <w:szCs w:val="24"/>
        </w:rPr>
      </w:pPr>
      <w:r>
        <w:rPr>
          <w:rFonts w:hint="eastAsia" w:eastAsia="仿宋_GB2312"/>
          <w:b/>
          <w:szCs w:val="24"/>
        </w:rPr>
        <w:t>表五</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tcPr>
          <w:p>
            <w:pPr>
              <w:spacing w:line="440" w:lineRule="exact"/>
              <w:ind w:firstLine="480"/>
              <w:jc w:val="both"/>
            </w:pPr>
            <w:r>
              <w:rPr>
                <w:rFonts w:hint="eastAsia"/>
              </w:rPr>
              <w:t>验收监测质量保证及质量控制：</w:t>
            </w:r>
          </w:p>
          <w:p>
            <w:pPr>
              <w:spacing w:line="440" w:lineRule="exact"/>
              <w:ind w:firstLine="480"/>
              <w:textAlignment w:val="baseline"/>
            </w:pPr>
            <w:r>
              <w:t>受</w:t>
            </w:r>
            <w:r>
              <w:rPr>
                <w:rFonts w:hint="eastAsia"/>
              </w:rPr>
              <w:t>新乡市公共交通集团有限责任公司</w:t>
            </w:r>
            <w:r>
              <w:rPr>
                <w:rFonts w:hint="eastAsia"/>
                <w:lang w:eastAsia="zh-CN"/>
              </w:rPr>
              <w:t>柳青路加油</w:t>
            </w:r>
            <w:r>
              <w:rPr>
                <w:rFonts w:hint="eastAsia"/>
              </w:rPr>
              <w:t>站</w:t>
            </w:r>
            <w:r>
              <w:t>委托</w:t>
            </w:r>
            <w:r>
              <w:rPr>
                <w:rFonts w:hint="eastAsia"/>
              </w:rPr>
              <w:t>，河南永飞</w:t>
            </w:r>
            <w:r>
              <w:t>检测</w:t>
            </w:r>
            <w:r>
              <w:rPr>
                <w:rFonts w:hint="eastAsia"/>
              </w:rPr>
              <w:t>科技</w:t>
            </w:r>
            <w:r>
              <w:t>有限公司按照标准规范对相关项目进行采样</w:t>
            </w:r>
            <w:r>
              <w:rPr>
                <w:rFonts w:hint="eastAsia"/>
              </w:rPr>
              <w:t>监测</w:t>
            </w:r>
            <w:r>
              <w:t>。</w:t>
            </w:r>
          </w:p>
          <w:p>
            <w:pPr>
              <w:spacing w:line="440" w:lineRule="exact"/>
              <w:ind w:firstLine="482"/>
              <w:textAlignment w:val="baseline"/>
            </w:pPr>
            <w:r>
              <w:rPr>
                <w:rFonts w:hint="eastAsia"/>
              </w:rPr>
              <w:t>1</w:t>
            </w:r>
            <w:r>
              <w:t>、分析方法及</w:t>
            </w:r>
            <w:r>
              <w:rPr>
                <w:rFonts w:hint="eastAsia"/>
              </w:rPr>
              <w:t>监测</w:t>
            </w:r>
            <w:r>
              <w:t>使用仪器</w:t>
            </w:r>
          </w:p>
          <w:p>
            <w:pPr>
              <w:spacing w:line="440" w:lineRule="exact"/>
              <w:ind w:firstLine="480"/>
              <w:textAlignment w:val="baseline"/>
            </w:pPr>
            <w:r>
              <w:rPr>
                <w:rFonts w:hint="eastAsia"/>
              </w:rPr>
              <w:t>监测</w:t>
            </w:r>
            <w:r>
              <w:t>过程中采用的分析方法及</w:t>
            </w:r>
            <w:r>
              <w:rPr>
                <w:rFonts w:hint="eastAsia"/>
              </w:rPr>
              <w:t>监测</w:t>
            </w:r>
            <w:r>
              <w:t>仪器见下表：</w:t>
            </w:r>
          </w:p>
          <w:p>
            <w:pPr>
              <w:pStyle w:val="32"/>
              <w:spacing w:line="440" w:lineRule="exact"/>
              <w:ind w:firstLine="480"/>
            </w:pPr>
            <w:r>
              <w:t>表</w:t>
            </w:r>
            <w:r>
              <w:rPr>
                <w:rFonts w:hint="eastAsia"/>
              </w:rPr>
              <w:t>11                监测</w:t>
            </w:r>
            <w:r>
              <w:t>方法及</w:t>
            </w:r>
            <w:r>
              <w:rPr>
                <w:rFonts w:hint="eastAsia"/>
              </w:rPr>
              <w:t>监测</w:t>
            </w:r>
            <w:r>
              <w:t>仪器一览表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0"/>
              <w:gridCol w:w="3394"/>
              <w:gridCol w:w="1843"/>
              <w:gridCol w:w="136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09" w:type="dxa"/>
                  <w:tcBorders>
                    <w:tl2br w:val="nil"/>
                    <w:tr2bl w:val="nil"/>
                  </w:tcBorders>
                  <w:vAlign w:val="center"/>
                </w:tcPr>
                <w:p>
                  <w:pPr>
                    <w:pStyle w:val="35"/>
                    <w:rPr>
                      <w:b/>
                      <w:bCs/>
                      <w:sz w:val="21"/>
                    </w:rPr>
                  </w:pPr>
                  <w:r>
                    <w:rPr>
                      <w:b/>
                      <w:bCs/>
                      <w:sz w:val="21"/>
                    </w:rPr>
                    <w:t>检测类别</w:t>
                  </w:r>
                </w:p>
              </w:tc>
              <w:tc>
                <w:tcPr>
                  <w:tcW w:w="1000" w:type="dxa"/>
                  <w:tcBorders>
                    <w:tl2br w:val="nil"/>
                    <w:tr2bl w:val="nil"/>
                  </w:tcBorders>
                  <w:vAlign w:val="center"/>
                </w:tcPr>
                <w:p>
                  <w:pPr>
                    <w:pStyle w:val="35"/>
                    <w:rPr>
                      <w:b/>
                      <w:bCs/>
                      <w:sz w:val="21"/>
                    </w:rPr>
                  </w:pPr>
                  <w:r>
                    <w:rPr>
                      <w:b/>
                      <w:bCs/>
                      <w:sz w:val="21"/>
                    </w:rPr>
                    <w:t>检测项目</w:t>
                  </w:r>
                </w:p>
              </w:tc>
              <w:tc>
                <w:tcPr>
                  <w:tcW w:w="3394" w:type="dxa"/>
                  <w:tcBorders>
                    <w:tl2br w:val="nil"/>
                    <w:tr2bl w:val="nil"/>
                  </w:tcBorders>
                  <w:vAlign w:val="center"/>
                </w:tcPr>
                <w:p>
                  <w:pPr>
                    <w:pStyle w:val="35"/>
                    <w:rPr>
                      <w:b/>
                      <w:bCs/>
                      <w:sz w:val="21"/>
                    </w:rPr>
                  </w:pPr>
                  <w:r>
                    <w:rPr>
                      <w:b/>
                      <w:bCs/>
                      <w:sz w:val="21"/>
                    </w:rPr>
                    <w:t>监测依据及分析方法</w:t>
                  </w:r>
                </w:p>
              </w:tc>
              <w:tc>
                <w:tcPr>
                  <w:tcW w:w="1843" w:type="dxa"/>
                  <w:tcBorders>
                    <w:tl2br w:val="nil"/>
                    <w:tr2bl w:val="nil"/>
                  </w:tcBorders>
                  <w:vAlign w:val="center"/>
                </w:tcPr>
                <w:p>
                  <w:pPr>
                    <w:pStyle w:val="35"/>
                    <w:rPr>
                      <w:b/>
                      <w:bCs/>
                      <w:sz w:val="21"/>
                    </w:rPr>
                  </w:pPr>
                  <w:r>
                    <w:rPr>
                      <w:b/>
                      <w:bCs/>
                      <w:sz w:val="21"/>
                    </w:rPr>
                    <w:t>仪器型号及编号</w:t>
                  </w:r>
                </w:p>
              </w:tc>
              <w:tc>
                <w:tcPr>
                  <w:tcW w:w="1360" w:type="dxa"/>
                  <w:tcBorders>
                    <w:tl2br w:val="nil"/>
                    <w:tr2bl w:val="nil"/>
                  </w:tcBorders>
                  <w:vAlign w:val="center"/>
                </w:tcPr>
                <w:p>
                  <w:pPr>
                    <w:pStyle w:val="35"/>
                    <w:rPr>
                      <w:b/>
                      <w:bCs/>
                      <w:sz w:val="21"/>
                    </w:rPr>
                  </w:pPr>
                  <w:r>
                    <w:rPr>
                      <w:b/>
                      <w:bCs/>
                      <w:sz w:val="21"/>
                    </w:rPr>
                    <w:t>检出限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09"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废气无组织排放</w:t>
                  </w:r>
                </w:p>
              </w:tc>
              <w:tc>
                <w:tcPr>
                  <w:tcW w:w="1000"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非甲烷</w:t>
                  </w:r>
                </w:p>
                <w:p>
                  <w:pPr>
                    <w:adjustRightInd/>
                    <w:spacing w:line="240" w:lineRule="auto"/>
                    <w:ind w:left="-120" w:leftChars="-50" w:right="-120" w:rightChars="-50"/>
                    <w:jc w:val="center"/>
                    <w:rPr>
                      <w:sz w:val="21"/>
                      <w:szCs w:val="21"/>
                    </w:rPr>
                  </w:pPr>
                  <w:r>
                    <w:rPr>
                      <w:sz w:val="21"/>
                      <w:szCs w:val="21"/>
                    </w:rPr>
                    <w:t>总烃</w:t>
                  </w:r>
                </w:p>
              </w:tc>
              <w:tc>
                <w:tcPr>
                  <w:tcW w:w="3394"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《环境空气 总烃、甲烷和非甲烷总烃的测定 直接进样-气相色谱法》HJ 604-2017</w:t>
                  </w:r>
                </w:p>
              </w:tc>
              <w:tc>
                <w:tcPr>
                  <w:tcW w:w="1843"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气相色谱仪</w:t>
                  </w:r>
                </w:p>
                <w:p>
                  <w:pPr>
                    <w:adjustRightInd/>
                    <w:spacing w:line="240" w:lineRule="auto"/>
                    <w:ind w:left="-120" w:leftChars="-50" w:right="-120" w:rightChars="-50"/>
                    <w:jc w:val="center"/>
                    <w:rPr>
                      <w:sz w:val="21"/>
                      <w:szCs w:val="21"/>
                    </w:rPr>
                  </w:pPr>
                  <w:r>
                    <w:rPr>
                      <w:sz w:val="21"/>
                      <w:szCs w:val="21"/>
                    </w:rPr>
                    <w:t>GC9790Ⅱ</w:t>
                  </w:r>
                </w:p>
                <w:p>
                  <w:pPr>
                    <w:adjustRightInd/>
                    <w:spacing w:line="240" w:lineRule="auto"/>
                    <w:ind w:left="-120" w:leftChars="-50" w:right="-120" w:rightChars="-50"/>
                    <w:jc w:val="center"/>
                    <w:rPr>
                      <w:sz w:val="21"/>
                      <w:szCs w:val="21"/>
                    </w:rPr>
                  </w:pPr>
                  <w:r>
                    <w:rPr>
                      <w:rFonts w:hint="eastAsia"/>
                      <w:sz w:val="21"/>
                      <w:szCs w:val="21"/>
                    </w:rPr>
                    <w:t>YFYQ-005-01-2021</w:t>
                  </w:r>
                </w:p>
              </w:tc>
              <w:tc>
                <w:tcPr>
                  <w:tcW w:w="1360"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0.07</w:t>
                  </w:r>
                </w:p>
                <w:p>
                  <w:pPr>
                    <w:adjustRightInd/>
                    <w:spacing w:line="240" w:lineRule="auto"/>
                    <w:ind w:left="-120" w:leftChars="-50" w:right="-120" w:rightChars="-50"/>
                    <w:jc w:val="center"/>
                    <w:rPr>
                      <w:sz w:val="21"/>
                      <w:szCs w:val="21"/>
                    </w:rPr>
                  </w:pPr>
                  <w:r>
                    <w:rPr>
                      <w:sz w:val="21"/>
                      <w:szCs w:val="21"/>
                    </w:rPr>
                    <w:t>mg/m</w:t>
                  </w:r>
                  <w:r>
                    <w:rPr>
                      <w:sz w:val="21"/>
                      <w:szCs w:val="21"/>
                      <w:vertAlign w:val="superscript"/>
                    </w:rPr>
                    <w:t>3</w:t>
                  </w:r>
                </w:p>
                <w:p>
                  <w:pPr>
                    <w:adjustRightInd/>
                    <w:spacing w:line="240" w:lineRule="auto"/>
                    <w:ind w:left="-120" w:leftChars="-50" w:right="-120" w:rightChars="-50"/>
                    <w:jc w:val="center"/>
                    <w:rPr>
                      <w:sz w:val="21"/>
                      <w:szCs w:val="21"/>
                    </w:rPr>
                  </w:pPr>
                  <w:r>
                    <w:rPr>
                      <w:rFonts w:hint="eastAsia"/>
                      <w:sz w:val="21"/>
                      <w:szCs w:val="21"/>
                    </w:rPr>
                    <w:t>（以碳计）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tcBorders>
                    <w:tl2br w:val="nil"/>
                    <w:tr2bl w:val="nil"/>
                  </w:tcBorders>
                  <w:vAlign w:val="center"/>
                </w:tcPr>
                <w:p>
                  <w:pPr>
                    <w:adjustRightInd/>
                    <w:spacing w:line="240" w:lineRule="auto"/>
                    <w:ind w:left="-120" w:leftChars="-50" w:right="-120" w:rightChars="-50"/>
                    <w:jc w:val="center"/>
                    <w:textAlignment w:val="center"/>
                    <w:rPr>
                      <w:sz w:val="21"/>
                      <w:szCs w:val="21"/>
                    </w:rPr>
                  </w:pPr>
                  <w:r>
                    <w:rPr>
                      <w:sz w:val="21"/>
                      <w:szCs w:val="21"/>
                    </w:rPr>
                    <w:t>噪声</w:t>
                  </w:r>
                </w:p>
              </w:tc>
              <w:tc>
                <w:tcPr>
                  <w:tcW w:w="1000" w:type="dxa"/>
                  <w:tcBorders>
                    <w:tl2br w:val="nil"/>
                    <w:tr2bl w:val="nil"/>
                  </w:tcBorders>
                  <w:vAlign w:val="center"/>
                </w:tcPr>
                <w:p>
                  <w:pPr>
                    <w:adjustRightInd/>
                    <w:spacing w:line="240" w:lineRule="auto"/>
                    <w:ind w:left="-120" w:leftChars="-50" w:right="-120" w:rightChars="-50"/>
                    <w:jc w:val="center"/>
                    <w:textAlignment w:val="center"/>
                    <w:rPr>
                      <w:sz w:val="21"/>
                      <w:szCs w:val="21"/>
                    </w:rPr>
                  </w:pPr>
                  <w:r>
                    <w:rPr>
                      <w:sz w:val="21"/>
                      <w:szCs w:val="21"/>
                    </w:rPr>
                    <w:t>厂界环境</w:t>
                  </w:r>
                </w:p>
                <w:p>
                  <w:pPr>
                    <w:adjustRightInd/>
                    <w:spacing w:line="240" w:lineRule="auto"/>
                    <w:ind w:left="-120" w:leftChars="-50" w:right="-120" w:rightChars="-50"/>
                    <w:jc w:val="center"/>
                    <w:textAlignment w:val="center"/>
                    <w:rPr>
                      <w:sz w:val="21"/>
                      <w:szCs w:val="21"/>
                    </w:rPr>
                  </w:pPr>
                  <w:r>
                    <w:rPr>
                      <w:sz w:val="21"/>
                      <w:szCs w:val="21"/>
                    </w:rPr>
                    <w:t>噪声</w:t>
                  </w:r>
                </w:p>
              </w:tc>
              <w:tc>
                <w:tcPr>
                  <w:tcW w:w="3394" w:type="dxa"/>
                  <w:tcBorders>
                    <w:tl2br w:val="nil"/>
                    <w:tr2bl w:val="nil"/>
                  </w:tcBorders>
                  <w:vAlign w:val="center"/>
                </w:tcPr>
                <w:p>
                  <w:pPr>
                    <w:adjustRightInd/>
                    <w:spacing w:line="240" w:lineRule="auto"/>
                    <w:ind w:left="-120" w:leftChars="-50" w:right="-120" w:rightChars="-50"/>
                    <w:jc w:val="center"/>
                    <w:textAlignment w:val="center"/>
                    <w:rPr>
                      <w:sz w:val="21"/>
                      <w:szCs w:val="21"/>
                    </w:rPr>
                  </w:pPr>
                  <w:r>
                    <w:rPr>
                      <w:sz w:val="21"/>
                      <w:szCs w:val="21"/>
                    </w:rPr>
                    <w:t>《工业企业厂界环境噪声排放标准》GB 12348-2008</w:t>
                  </w:r>
                </w:p>
              </w:tc>
              <w:tc>
                <w:tcPr>
                  <w:tcW w:w="1843"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多功能声级计</w:t>
                  </w:r>
                </w:p>
                <w:p>
                  <w:pPr>
                    <w:adjustRightInd/>
                    <w:spacing w:line="240" w:lineRule="auto"/>
                    <w:ind w:left="-120" w:leftChars="-50" w:right="-120" w:rightChars="-50"/>
                    <w:jc w:val="center"/>
                    <w:rPr>
                      <w:sz w:val="21"/>
                      <w:szCs w:val="21"/>
                    </w:rPr>
                  </w:pPr>
                  <w:r>
                    <w:rPr>
                      <w:sz w:val="21"/>
                      <w:szCs w:val="21"/>
                    </w:rPr>
                    <w:t>AWA5688</w:t>
                  </w:r>
                </w:p>
                <w:p>
                  <w:pPr>
                    <w:adjustRightInd/>
                    <w:spacing w:line="240" w:lineRule="auto"/>
                    <w:ind w:left="-120" w:leftChars="-50" w:right="-120" w:rightChars="-50"/>
                    <w:jc w:val="center"/>
                    <w:textAlignment w:val="center"/>
                    <w:rPr>
                      <w:sz w:val="21"/>
                      <w:szCs w:val="21"/>
                    </w:rPr>
                  </w:pPr>
                  <w:r>
                    <w:rPr>
                      <w:sz w:val="21"/>
                      <w:szCs w:val="21"/>
                    </w:rPr>
                    <w:t>YFYQ-</w:t>
                  </w:r>
                  <w:r>
                    <w:rPr>
                      <w:rFonts w:hint="eastAsia"/>
                      <w:sz w:val="21"/>
                      <w:szCs w:val="21"/>
                    </w:rPr>
                    <w:t>044-01</w:t>
                  </w:r>
                  <w:r>
                    <w:rPr>
                      <w:sz w:val="21"/>
                      <w:szCs w:val="21"/>
                    </w:rPr>
                    <w:t>-202</w:t>
                  </w:r>
                  <w:r>
                    <w:rPr>
                      <w:rFonts w:hint="eastAsia"/>
                      <w:sz w:val="21"/>
                      <w:szCs w:val="21"/>
                    </w:rPr>
                    <w:t>0</w:t>
                  </w:r>
                </w:p>
              </w:tc>
              <w:tc>
                <w:tcPr>
                  <w:tcW w:w="1360" w:type="dxa"/>
                  <w:tcBorders>
                    <w:tl2br w:val="nil"/>
                    <w:tr2bl w:val="nil"/>
                  </w:tcBorders>
                  <w:vAlign w:val="center"/>
                </w:tcPr>
                <w:p>
                  <w:pPr>
                    <w:adjustRightInd/>
                    <w:spacing w:line="240" w:lineRule="auto"/>
                    <w:ind w:left="-120" w:leftChars="-50" w:right="-120" w:rightChars="-50"/>
                    <w:jc w:val="center"/>
                    <w:rPr>
                      <w:sz w:val="21"/>
                      <w:szCs w:val="21"/>
                    </w:rPr>
                  </w:pPr>
                  <w:r>
                    <w:rPr>
                      <w:sz w:val="21"/>
                      <w:szCs w:val="21"/>
                    </w:rPr>
                    <w:t>/</w:t>
                  </w:r>
                </w:p>
              </w:tc>
            </w:tr>
          </w:tbl>
          <w:p>
            <w:pPr>
              <w:spacing w:line="520" w:lineRule="exact"/>
              <w:ind w:firstLine="482"/>
              <w:textAlignment w:val="baseline"/>
            </w:pPr>
            <w:r>
              <w:rPr>
                <w:rFonts w:hint="eastAsia"/>
              </w:rPr>
              <w:t>2、质量保证和质量控制</w:t>
            </w:r>
          </w:p>
          <w:p>
            <w:pPr>
              <w:spacing w:line="440" w:lineRule="exact"/>
              <w:ind w:firstLine="480" w:firstLineChars="200"/>
              <w:textAlignment w:val="baseline"/>
            </w:pPr>
            <w:r>
              <w:rPr>
                <w:rFonts w:hint="eastAsia"/>
              </w:rPr>
              <w:t>质量保证与质量控制严格按照国家相关标准要求进行，实施全过程质量保证，具体质控要求如下：</w:t>
            </w:r>
          </w:p>
          <w:p>
            <w:pPr>
              <w:spacing w:line="440" w:lineRule="exact"/>
              <w:ind w:firstLine="480" w:firstLineChars="200"/>
              <w:textAlignment w:val="baseline"/>
            </w:pPr>
            <w:r>
              <w:rPr>
                <w:rFonts w:hint="eastAsia"/>
              </w:rPr>
              <w:t>1所有检测及分析仪器均在有效检定期内，并参照有关计量检定规程定期校验和维护。</w:t>
            </w:r>
          </w:p>
          <w:p>
            <w:pPr>
              <w:spacing w:line="440" w:lineRule="exact"/>
              <w:ind w:firstLine="480" w:firstLineChars="200"/>
              <w:textAlignment w:val="baseline"/>
            </w:pPr>
            <w:r>
              <w:rPr>
                <w:rFonts w:hint="eastAsia"/>
              </w:rPr>
              <w:t>2检测人员均经考核合格，并持证上岗。</w:t>
            </w:r>
          </w:p>
          <w:p>
            <w:pPr>
              <w:spacing w:line="440" w:lineRule="exact"/>
              <w:ind w:firstLine="480" w:firstLineChars="200"/>
              <w:textAlignment w:val="baseline"/>
            </w:pPr>
            <w:r>
              <w:rPr>
                <w:rFonts w:hint="eastAsia"/>
              </w:rPr>
              <w:t>3所有项目按国家有关规定及我公司质控要求进行质量控制，检测数据严格实行三级审核。</w:t>
            </w:r>
          </w:p>
          <w:p>
            <w:pPr>
              <w:pStyle w:val="2"/>
              <w:ind w:firstLine="240"/>
            </w:pPr>
          </w:p>
          <w:p/>
          <w:p>
            <w:pPr>
              <w:pStyle w:val="2"/>
              <w:ind w:firstLine="240"/>
            </w:pPr>
          </w:p>
          <w:p/>
          <w:p>
            <w:pPr>
              <w:pStyle w:val="2"/>
              <w:ind w:firstLine="240"/>
            </w:pPr>
          </w:p>
          <w:p/>
          <w:p>
            <w:pPr>
              <w:pStyle w:val="2"/>
              <w:ind w:firstLine="240"/>
            </w:pPr>
          </w:p>
        </w:tc>
      </w:tr>
    </w:tbl>
    <w:p>
      <w:pPr>
        <w:adjustRightInd/>
        <w:snapToGrid/>
        <w:ind w:firstLine="422"/>
        <w:rPr>
          <w:rFonts w:eastAsia="仿宋_GB2312"/>
          <w:b/>
          <w:szCs w:val="21"/>
        </w:rPr>
        <w:sectPr>
          <w:pgSz w:w="11906" w:h="16838"/>
          <w:pgMar w:top="1440" w:right="1800" w:bottom="1440" w:left="1800" w:header="708" w:footer="708" w:gutter="0"/>
          <w:pgNumType w:fmt="decimal"/>
          <w:cols w:space="720" w:num="1"/>
          <w:docGrid w:type="lines" w:linePitch="360" w:charSpace="0"/>
        </w:sectPr>
      </w:pPr>
    </w:p>
    <w:p>
      <w:pPr>
        <w:spacing w:line="440" w:lineRule="exact"/>
        <w:rPr>
          <w:rFonts w:eastAsia="仿宋_GB2312"/>
          <w:b/>
          <w:szCs w:val="24"/>
        </w:rPr>
      </w:pPr>
      <w:r>
        <w:rPr>
          <w:rFonts w:hint="eastAsia" w:eastAsia="仿宋_GB2312"/>
          <w:b/>
          <w:szCs w:val="24"/>
        </w:rPr>
        <w:t>表六</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PrEx>
        <w:trPr>
          <w:cantSplit/>
          <w:trHeight w:val="13166" w:hRule="atLeast"/>
          <w:jc w:val="center"/>
        </w:trPr>
        <w:tc>
          <w:tcPr>
            <w:tcW w:w="8522" w:type="dxa"/>
            <w:tcBorders>
              <w:tl2br w:val="nil"/>
              <w:tr2bl w:val="nil"/>
            </w:tcBorders>
          </w:tcPr>
          <w:p>
            <w:pPr>
              <w:spacing w:line="520" w:lineRule="exact"/>
              <w:ind w:firstLine="482"/>
              <w:textAlignment w:val="baseline"/>
              <w:rPr>
                <w:b/>
                <w:bCs/>
                <w:szCs w:val="24"/>
              </w:rPr>
            </w:pPr>
            <w:r>
              <w:rPr>
                <w:rFonts w:hint="eastAsia"/>
                <w:b/>
                <w:bCs/>
                <w:szCs w:val="24"/>
              </w:rPr>
              <w:t>验收监测内容：</w:t>
            </w:r>
          </w:p>
          <w:p>
            <w:pPr>
              <w:ind w:firstLine="480"/>
              <w:textAlignment w:val="baseline"/>
              <w:rPr>
                <w:bCs/>
                <w:szCs w:val="24"/>
              </w:rPr>
            </w:pPr>
            <w:r>
              <w:rPr>
                <w:rFonts w:hint="eastAsia" w:ascii="宋体" w:hAnsi="宋体"/>
                <w:bCs/>
                <w:szCs w:val="24"/>
              </w:rPr>
              <w:t>监测</w:t>
            </w:r>
            <w:r>
              <w:rPr>
                <w:rFonts w:ascii="宋体" w:hAnsi="宋体"/>
                <w:bCs/>
                <w:szCs w:val="24"/>
              </w:rPr>
              <w:t>内容通过对现场的调查与核实，确定验收期间监测因子、监测点位、监测频次见下表。</w:t>
            </w:r>
          </w:p>
          <w:p>
            <w:pPr>
              <w:pStyle w:val="32"/>
              <w:ind w:firstLine="480"/>
            </w:pPr>
            <w:r>
              <w:t>表</w:t>
            </w:r>
            <w:r>
              <w:rPr>
                <w:rFonts w:hint="eastAsia"/>
              </w:rPr>
              <w:t xml:space="preserve">12                    </w:t>
            </w:r>
            <w:r>
              <w:t>验收监测内容</w:t>
            </w:r>
          </w:p>
          <w:tbl>
            <w:tblPr>
              <w:tblStyle w:val="15"/>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871"/>
              <w:gridCol w:w="2078"/>
              <w:gridCol w:w="189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624" w:hRule="atLeast"/>
                <w:jc w:val="center"/>
              </w:trPr>
              <w:tc>
                <w:tcPr>
                  <w:tcW w:w="877" w:type="pct"/>
                  <w:tcBorders>
                    <w:tl2br w:val="nil"/>
                    <w:tr2bl w:val="nil"/>
                  </w:tcBorders>
                  <w:vAlign w:val="center"/>
                </w:tcPr>
                <w:p>
                  <w:pPr>
                    <w:pStyle w:val="35"/>
                    <w:rPr>
                      <w:b/>
                      <w:bCs/>
                      <w:sz w:val="21"/>
                    </w:rPr>
                  </w:pPr>
                  <w:r>
                    <w:rPr>
                      <w:b/>
                      <w:bCs/>
                      <w:sz w:val="21"/>
                    </w:rPr>
                    <w:t>检测类别</w:t>
                  </w:r>
                </w:p>
              </w:tc>
              <w:tc>
                <w:tcPr>
                  <w:tcW w:w="1729" w:type="pct"/>
                  <w:tcBorders>
                    <w:tl2br w:val="nil"/>
                    <w:tr2bl w:val="nil"/>
                  </w:tcBorders>
                  <w:vAlign w:val="center"/>
                </w:tcPr>
                <w:p>
                  <w:pPr>
                    <w:pStyle w:val="35"/>
                    <w:rPr>
                      <w:b/>
                      <w:bCs/>
                      <w:sz w:val="21"/>
                    </w:rPr>
                  </w:pPr>
                  <w:r>
                    <w:rPr>
                      <w:b/>
                      <w:bCs/>
                      <w:sz w:val="21"/>
                    </w:rPr>
                    <w:t>检测点位</w:t>
                  </w:r>
                </w:p>
              </w:tc>
              <w:tc>
                <w:tcPr>
                  <w:tcW w:w="1251" w:type="pct"/>
                  <w:tcBorders>
                    <w:tl2br w:val="nil"/>
                    <w:tr2bl w:val="nil"/>
                  </w:tcBorders>
                  <w:vAlign w:val="center"/>
                </w:tcPr>
                <w:p>
                  <w:pPr>
                    <w:pStyle w:val="35"/>
                    <w:rPr>
                      <w:b/>
                      <w:bCs/>
                      <w:sz w:val="21"/>
                    </w:rPr>
                  </w:pPr>
                  <w:r>
                    <w:rPr>
                      <w:b/>
                      <w:bCs/>
                      <w:sz w:val="21"/>
                    </w:rPr>
                    <w:t>检测项目</w:t>
                  </w:r>
                </w:p>
              </w:tc>
              <w:tc>
                <w:tcPr>
                  <w:tcW w:w="1141" w:type="pct"/>
                  <w:tcBorders>
                    <w:tl2br w:val="nil"/>
                    <w:tr2bl w:val="nil"/>
                  </w:tcBorders>
                  <w:vAlign w:val="center"/>
                </w:tcPr>
                <w:p>
                  <w:pPr>
                    <w:pStyle w:val="35"/>
                    <w:rPr>
                      <w:b/>
                      <w:bCs/>
                      <w:sz w:val="21"/>
                    </w:rPr>
                  </w:pPr>
                  <w:r>
                    <w:rPr>
                      <w:b/>
                      <w:bCs/>
                      <w:sz w:val="21"/>
                    </w:rPr>
                    <w:t>检测频次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 w:type="pct"/>
                  <w:vMerge w:val="restart"/>
                  <w:tcBorders>
                    <w:tl2br w:val="nil"/>
                    <w:tr2bl w:val="nil"/>
                  </w:tcBorders>
                  <w:vAlign w:val="center"/>
                </w:tcPr>
                <w:p>
                  <w:pPr>
                    <w:spacing w:line="240" w:lineRule="auto"/>
                    <w:jc w:val="center"/>
                    <w:rPr>
                      <w:sz w:val="21"/>
                      <w:szCs w:val="21"/>
                    </w:rPr>
                  </w:pPr>
                  <w:r>
                    <w:rPr>
                      <w:sz w:val="21"/>
                      <w:szCs w:val="21"/>
                    </w:rPr>
                    <w:t>废气无组织</w:t>
                  </w:r>
                </w:p>
                <w:p>
                  <w:pPr>
                    <w:spacing w:line="240" w:lineRule="auto"/>
                    <w:jc w:val="center"/>
                    <w:rPr>
                      <w:sz w:val="21"/>
                      <w:szCs w:val="21"/>
                    </w:rPr>
                  </w:pPr>
                  <w:r>
                    <w:rPr>
                      <w:sz w:val="21"/>
                      <w:szCs w:val="21"/>
                    </w:rPr>
                    <w:t>排放</w:t>
                  </w:r>
                </w:p>
              </w:tc>
              <w:tc>
                <w:tcPr>
                  <w:tcW w:w="1729" w:type="pct"/>
                  <w:tcBorders>
                    <w:tl2br w:val="nil"/>
                    <w:tr2bl w:val="nil"/>
                  </w:tcBorders>
                  <w:vAlign w:val="center"/>
                </w:tcPr>
                <w:p>
                  <w:pPr>
                    <w:adjustRightInd/>
                    <w:snapToGrid/>
                    <w:spacing w:line="240" w:lineRule="auto"/>
                    <w:ind w:left="-120" w:leftChars="-50" w:right="-120" w:rightChars="-50"/>
                    <w:jc w:val="center"/>
                    <w:rPr>
                      <w:sz w:val="21"/>
                      <w:szCs w:val="21"/>
                    </w:rPr>
                  </w:pPr>
                  <w:r>
                    <w:rPr>
                      <w:sz w:val="21"/>
                      <w:szCs w:val="21"/>
                    </w:rPr>
                    <w:t>厂界上风向设1个参照点</w:t>
                  </w:r>
                  <w:r>
                    <w:rPr>
                      <w:rFonts w:hint="eastAsia"/>
                      <w:sz w:val="21"/>
                      <w:szCs w:val="21"/>
                    </w:rPr>
                    <w:t>，</w:t>
                  </w:r>
                </w:p>
                <w:p>
                  <w:pPr>
                    <w:adjustRightInd/>
                    <w:snapToGrid/>
                    <w:spacing w:line="240" w:lineRule="auto"/>
                    <w:ind w:left="-120" w:leftChars="-50" w:right="-120" w:rightChars="-50"/>
                    <w:jc w:val="center"/>
                    <w:rPr>
                      <w:sz w:val="21"/>
                      <w:szCs w:val="21"/>
                    </w:rPr>
                  </w:pPr>
                  <w:r>
                    <w:rPr>
                      <w:sz w:val="21"/>
                      <w:szCs w:val="21"/>
                    </w:rPr>
                    <w:t>下风向设3个监控点</w:t>
                  </w:r>
                </w:p>
              </w:tc>
              <w:tc>
                <w:tcPr>
                  <w:tcW w:w="1251" w:type="pct"/>
                  <w:vMerge w:val="restart"/>
                  <w:tcBorders>
                    <w:tl2br w:val="nil"/>
                    <w:tr2bl w:val="nil"/>
                  </w:tcBorders>
                  <w:vAlign w:val="center"/>
                </w:tcPr>
                <w:p>
                  <w:pPr>
                    <w:adjustRightInd/>
                    <w:snapToGrid/>
                    <w:spacing w:line="240" w:lineRule="auto"/>
                    <w:ind w:left="-120" w:leftChars="-50" w:right="-120" w:rightChars="-50"/>
                    <w:jc w:val="center"/>
                    <w:rPr>
                      <w:sz w:val="21"/>
                      <w:szCs w:val="21"/>
                    </w:rPr>
                  </w:pPr>
                  <w:r>
                    <w:rPr>
                      <w:sz w:val="21"/>
                      <w:szCs w:val="21"/>
                    </w:rPr>
                    <w:t>非甲烷总烃</w:t>
                  </w:r>
                </w:p>
              </w:tc>
              <w:tc>
                <w:tcPr>
                  <w:tcW w:w="1141" w:type="pct"/>
                  <w:vMerge w:val="restart"/>
                  <w:tcBorders>
                    <w:tl2br w:val="nil"/>
                    <w:tr2bl w:val="nil"/>
                  </w:tcBorders>
                  <w:vAlign w:val="center"/>
                </w:tcPr>
                <w:p>
                  <w:pPr>
                    <w:spacing w:line="240" w:lineRule="auto"/>
                    <w:jc w:val="center"/>
                    <w:rPr>
                      <w:sz w:val="21"/>
                      <w:szCs w:val="21"/>
                    </w:rPr>
                  </w:pPr>
                  <w:r>
                    <w:rPr>
                      <w:sz w:val="21"/>
                      <w:szCs w:val="21"/>
                    </w:rPr>
                    <w:t>连续检测2天，</w:t>
                  </w:r>
                </w:p>
                <w:p>
                  <w:pPr>
                    <w:spacing w:line="240" w:lineRule="auto"/>
                    <w:jc w:val="center"/>
                    <w:rPr>
                      <w:sz w:val="21"/>
                      <w:szCs w:val="21"/>
                    </w:rPr>
                  </w:pPr>
                  <w:r>
                    <w:rPr>
                      <w:sz w:val="21"/>
                      <w:szCs w:val="21"/>
                    </w:rPr>
                    <w:t>每天检测</w:t>
                  </w:r>
                  <w:r>
                    <w:rPr>
                      <w:rFonts w:hint="eastAsia"/>
                      <w:sz w:val="21"/>
                      <w:szCs w:val="21"/>
                    </w:rPr>
                    <w:t>4</w:t>
                  </w:r>
                  <w:r>
                    <w:rPr>
                      <w:sz w:val="21"/>
                      <w:szCs w:val="21"/>
                    </w:rPr>
                    <w:t>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 w:type="pct"/>
                  <w:vMerge w:val="continue"/>
                  <w:tcBorders>
                    <w:tl2br w:val="nil"/>
                    <w:tr2bl w:val="nil"/>
                  </w:tcBorders>
                  <w:vAlign w:val="center"/>
                </w:tcPr>
                <w:p>
                  <w:pPr>
                    <w:spacing w:line="240" w:lineRule="auto"/>
                    <w:jc w:val="center"/>
                    <w:rPr>
                      <w:sz w:val="21"/>
                      <w:szCs w:val="21"/>
                    </w:rPr>
                  </w:pPr>
                </w:p>
              </w:tc>
              <w:tc>
                <w:tcPr>
                  <w:tcW w:w="1729" w:type="pct"/>
                  <w:tcBorders>
                    <w:tl2br w:val="nil"/>
                    <w:tr2bl w:val="nil"/>
                  </w:tcBorders>
                  <w:vAlign w:val="center"/>
                </w:tcPr>
                <w:p>
                  <w:pPr>
                    <w:adjustRightInd/>
                    <w:snapToGrid/>
                    <w:spacing w:line="240" w:lineRule="auto"/>
                    <w:ind w:left="-120" w:leftChars="-50" w:right="-120" w:rightChars="-50"/>
                    <w:jc w:val="center"/>
                    <w:rPr>
                      <w:sz w:val="21"/>
                      <w:szCs w:val="21"/>
                    </w:rPr>
                  </w:pPr>
                  <w:r>
                    <w:rPr>
                      <w:sz w:val="21"/>
                      <w:szCs w:val="21"/>
                    </w:rPr>
                    <w:t>油气回收口</w:t>
                  </w:r>
                </w:p>
              </w:tc>
              <w:tc>
                <w:tcPr>
                  <w:tcW w:w="1251" w:type="pct"/>
                  <w:vMerge w:val="continue"/>
                  <w:tcBorders>
                    <w:tl2br w:val="nil"/>
                    <w:tr2bl w:val="nil"/>
                  </w:tcBorders>
                  <w:vAlign w:val="center"/>
                </w:tcPr>
                <w:p>
                  <w:pPr>
                    <w:adjustRightInd/>
                    <w:snapToGrid/>
                    <w:spacing w:line="240" w:lineRule="auto"/>
                    <w:ind w:left="-120" w:leftChars="-50" w:right="-120" w:rightChars="-50"/>
                    <w:jc w:val="center"/>
                    <w:rPr>
                      <w:sz w:val="21"/>
                      <w:szCs w:val="21"/>
                    </w:rPr>
                  </w:pPr>
                </w:p>
              </w:tc>
              <w:tc>
                <w:tcPr>
                  <w:tcW w:w="1141" w:type="pct"/>
                  <w:vMerge w:val="continue"/>
                  <w:tcBorders>
                    <w:tl2br w:val="nil"/>
                    <w:tr2bl w:val="nil"/>
                  </w:tcBorders>
                  <w:vAlign w:val="center"/>
                </w:tcPr>
                <w:p>
                  <w:pPr>
                    <w:spacing w:line="240" w:lineRule="auto"/>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877" w:type="pct"/>
                  <w:tcBorders>
                    <w:tl2br w:val="nil"/>
                    <w:tr2bl w:val="nil"/>
                  </w:tcBorders>
                  <w:vAlign w:val="center"/>
                </w:tcPr>
                <w:p>
                  <w:pPr>
                    <w:spacing w:line="240" w:lineRule="auto"/>
                    <w:jc w:val="center"/>
                    <w:rPr>
                      <w:sz w:val="21"/>
                      <w:szCs w:val="21"/>
                    </w:rPr>
                  </w:pPr>
                  <w:r>
                    <w:rPr>
                      <w:sz w:val="21"/>
                      <w:szCs w:val="21"/>
                    </w:rPr>
                    <w:t>噪声</w:t>
                  </w:r>
                </w:p>
              </w:tc>
              <w:tc>
                <w:tcPr>
                  <w:tcW w:w="1729" w:type="pct"/>
                  <w:tcBorders>
                    <w:tl2br w:val="nil"/>
                    <w:tr2bl w:val="nil"/>
                  </w:tcBorders>
                  <w:vAlign w:val="center"/>
                </w:tcPr>
                <w:p>
                  <w:pPr>
                    <w:spacing w:line="240" w:lineRule="auto"/>
                    <w:jc w:val="center"/>
                    <w:rPr>
                      <w:sz w:val="21"/>
                      <w:szCs w:val="21"/>
                    </w:rPr>
                  </w:pPr>
                  <w:r>
                    <w:rPr>
                      <w:sz w:val="21"/>
                      <w:szCs w:val="21"/>
                    </w:rPr>
                    <w:t>东、南、西、北厂界</w:t>
                  </w:r>
                </w:p>
              </w:tc>
              <w:tc>
                <w:tcPr>
                  <w:tcW w:w="1251" w:type="pct"/>
                  <w:tcBorders>
                    <w:tl2br w:val="nil"/>
                    <w:tr2bl w:val="nil"/>
                  </w:tcBorders>
                  <w:vAlign w:val="center"/>
                </w:tcPr>
                <w:p>
                  <w:pPr>
                    <w:spacing w:line="240" w:lineRule="auto"/>
                    <w:jc w:val="center"/>
                    <w:rPr>
                      <w:sz w:val="21"/>
                      <w:szCs w:val="21"/>
                    </w:rPr>
                  </w:pPr>
                  <w:r>
                    <w:rPr>
                      <w:rFonts w:hint="eastAsia"/>
                      <w:sz w:val="21"/>
                      <w:szCs w:val="21"/>
                    </w:rPr>
                    <w:t>厂界</w:t>
                  </w:r>
                  <w:r>
                    <w:rPr>
                      <w:sz w:val="21"/>
                      <w:szCs w:val="21"/>
                    </w:rPr>
                    <w:t>环境噪声</w:t>
                  </w:r>
                </w:p>
              </w:tc>
              <w:tc>
                <w:tcPr>
                  <w:tcW w:w="1141" w:type="pct"/>
                  <w:tcBorders>
                    <w:tl2br w:val="nil"/>
                    <w:tr2bl w:val="nil"/>
                  </w:tcBorders>
                  <w:vAlign w:val="center"/>
                </w:tcPr>
                <w:p>
                  <w:pPr>
                    <w:spacing w:line="240" w:lineRule="auto"/>
                    <w:jc w:val="center"/>
                    <w:rPr>
                      <w:sz w:val="21"/>
                      <w:szCs w:val="21"/>
                    </w:rPr>
                  </w:pPr>
                  <w:r>
                    <w:rPr>
                      <w:sz w:val="21"/>
                      <w:szCs w:val="21"/>
                    </w:rPr>
                    <w:t>连续检测</w:t>
                  </w:r>
                  <w:r>
                    <w:rPr>
                      <w:rFonts w:hint="eastAsia"/>
                      <w:sz w:val="21"/>
                      <w:szCs w:val="21"/>
                    </w:rPr>
                    <w:t>2</w:t>
                  </w:r>
                  <w:r>
                    <w:rPr>
                      <w:sz w:val="21"/>
                      <w:szCs w:val="21"/>
                    </w:rPr>
                    <w:t>天，</w:t>
                  </w:r>
                </w:p>
                <w:p>
                  <w:pPr>
                    <w:spacing w:line="240" w:lineRule="auto"/>
                    <w:jc w:val="center"/>
                    <w:rPr>
                      <w:sz w:val="21"/>
                      <w:szCs w:val="21"/>
                    </w:rPr>
                  </w:pPr>
                  <w:r>
                    <w:rPr>
                      <w:sz w:val="21"/>
                      <w:szCs w:val="21"/>
                    </w:rPr>
                    <w:t>每天昼</w:t>
                  </w:r>
                  <w:r>
                    <w:rPr>
                      <w:rFonts w:hint="eastAsia"/>
                      <w:sz w:val="21"/>
                      <w:szCs w:val="21"/>
                      <w:lang w:eastAsia="zh-CN"/>
                    </w:rPr>
                    <w:t>、</w:t>
                  </w:r>
                  <w:r>
                    <w:rPr>
                      <w:rFonts w:hint="eastAsia"/>
                      <w:sz w:val="21"/>
                      <w:szCs w:val="21"/>
                      <w:lang w:val="en-US" w:eastAsia="zh-CN"/>
                    </w:rPr>
                    <w:t>夜各</w:t>
                  </w:r>
                  <w:r>
                    <w:rPr>
                      <w:sz w:val="21"/>
                      <w:szCs w:val="21"/>
                    </w:rPr>
                    <w:t>检测1次。</w:t>
                  </w:r>
                </w:p>
              </w:tc>
            </w:tr>
          </w:tbl>
          <w:p>
            <w:pPr>
              <w:spacing w:before="72" w:beforeLines="20" w:after="200" w:line="360" w:lineRule="auto"/>
              <w:ind w:firstLine="420"/>
              <w:rPr>
                <w:rFonts w:eastAsia="仿宋_GB2312"/>
                <w:szCs w:val="21"/>
              </w:rPr>
            </w:pPr>
          </w:p>
        </w:tc>
      </w:tr>
    </w:tbl>
    <w:p>
      <w:pPr>
        <w:adjustRightInd/>
        <w:snapToGrid/>
        <w:ind w:firstLine="422"/>
        <w:rPr>
          <w:rFonts w:eastAsia="仿宋_GB2312"/>
          <w:b/>
          <w:szCs w:val="21"/>
        </w:rPr>
        <w:sectPr>
          <w:pgSz w:w="11906" w:h="16838"/>
          <w:pgMar w:top="1440" w:right="1800" w:bottom="1440" w:left="1800" w:header="708" w:footer="708" w:gutter="0"/>
          <w:pgNumType w:fmt="decimal"/>
          <w:cols w:space="720" w:num="1"/>
          <w:docGrid w:type="lines" w:linePitch="360" w:charSpace="0"/>
        </w:sectPr>
      </w:pPr>
    </w:p>
    <w:p>
      <w:pPr>
        <w:spacing w:line="440" w:lineRule="exact"/>
        <w:rPr>
          <w:rFonts w:eastAsia="仿宋_GB2312"/>
          <w:b/>
          <w:szCs w:val="24"/>
        </w:rPr>
      </w:pPr>
      <w:r>
        <w:rPr>
          <w:rFonts w:hint="eastAsia" w:eastAsia="仿宋_GB2312"/>
          <w:b/>
          <w:szCs w:val="24"/>
        </w:rPr>
        <w:t>表七</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522" w:type="dxa"/>
            <w:tcBorders>
              <w:top w:val="single" w:color="auto" w:sz="4" w:space="0"/>
              <w:left w:val="single" w:color="auto" w:sz="4" w:space="0"/>
              <w:bottom w:val="single" w:color="auto" w:sz="4" w:space="0"/>
              <w:right w:val="single" w:color="auto" w:sz="4" w:space="0"/>
            </w:tcBorders>
          </w:tcPr>
          <w:p>
            <w:pPr>
              <w:spacing w:line="520" w:lineRule="exact"/>
              <w:ind w:firstLine="480"/>
              <w:textAlignment w:val="baseline"/>
              <w:rPr>
                <w:bCs/>
                <w:szCs w:val="24"/>
              </w:rPr>
            </w:pPr>
            <w:r>
              <w:rPr>
                <w:bCs/>
                <w:szCs w:val="24"/>
              </w:rPr>
              <w:t>验收监测期间生产工况记录：</w:t>
            </w:r>
          </w:p>
          <w:p>
            <w:pPr>
              <w:pStyle w:val="32"/>
              <w:bidi w:val="0"/>
              <w:spacing w:line="240" w:lineRule="auto"/>
              <w:rPr>
                <w:rFonts w:hint="default"/>
                <w:lang w:val="en-US" w:eastAsia="zh-CN"/>
              </w:rPr>
            </w:pPr>
            <w:r>
              <w:rPr>
                <w:rFonts w:hint="eastAsia"/>
                <w:lang w:val="en-US" w:eastAsia="zh-CN"/>
              </w:rPr>
              <w:t>表 13                  验收期间工况记录表</w:t>
            </w:r>
          </w:p>
          <w:tbl>
            <w:tblPr>
              <w:tblStyle w:val="1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4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采样时间</w:t>
                  </w:r>
                </w:p>
              </w:tc>
              <w:tc>
                <w:tcPr>
                  <w:tcW w:w="2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
                      <w:bCs/>
                      <w:sz w:val="21"/>
                      <w:szCs w:val="21"/>
                      <w:lang w:eastAsia="zh-CN"/>
                    </w:rPr>
                  </w:pPr>
                  <w:r>
                    <w:rPr>
                      <w:rFonts w:hint="eastAsia" w:cs="Times New Roman"/>
                      <w:b/>
                      <w:bCs/>
                      <w:sz w:val="21"/>
                      <w:szCs w:val="21"/>
                      <w:lang w:val="en-US" w:eastAsia="zh-CN"/>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2022.08.8</w:t>
                  </w:r>
                </w:p>
              </w:tc>
              <w:tc>
                <w:tcPr>
                  <w:tcW w:w="2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i w:val="0"/>
                      <w:color w:val="auto"/>
                      <w:sz w:val="21"/>
                      <w:szCs w:val="21"/>
                      <w:u w:val="none"/>
                      <w:lang w:val="en-US" w:eastAsia="zh-CN" w:bidi="ar-SA"/>
                    </w:rPr>
                    <w:t>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2022.08.9</w:t>
                  </w:r>
                </w:p>
              </w:tc>
              <w:tc>
                <w:tcPr>
                  <w:tcW w:w="25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bidi="ar-SA"/>
                    </w:rPr>
                  </w:pPr>
                  <w:r>
                    <w:rPr>
                      <w:rFonts w:hint="eastAsia" w:cs="Times New Roman"/>
                      <w:i w:val="0"/>
                      <w:color w:val="auto"/>
                      <w:sz w:val="21"/>
                      <w:szCs w:val="21"/>
                      <w:u w:val="none"/>
                      <w:lang w:val="en-US" w:eastAsia="zh-CN" w:bidi="ar-SA"/>
                    </w:rPr>
                    <w:t>82.0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备注：</w:t>
                  </w:r>
                  <w:r>
                    <w:rPr>
                      <w:rFonts w:hint="eastAsia" w:ascii="Times New Roman" w:hAnsi="Times New Roman" w:eastAsia="宋体" w:cs="Times New Roman"/>
                      <w:color w:val="auto"/>
                      <w:sz w:val="21"/>
                      <w:szCs w:val="21"/>
                      <w:lang w:val="en-US" w:eastAsia="zh-CN"/>
                    </w:rPr>
                    <w:t>检测期间生产工况由新乡市公共交通集团有限责任公司柳青路加油站提供。</w:t>
                  </w:r>
                </w:p>
              </w:tc>
            </w:tr>
          </w:tbl>
          <w:p>
            <w:pPr>
              <w:ind w:firstLine="480"/>
              <w:textAlignment w:val="baseline"/>
              <w:rPr>
                <w:bCs/>
                <w:szCs w:val="24"/>
              </w:rPr>
            </w:pPr>
            <w:r>
              <w:rPr>
                <w:bCs/>
                <w:color w:val="000000"/>
                <w:szCs w:val="24"/>
              </w:rPr>
              <w:t>验收</w:t>
            </w:r>
            <w:r>
              <w:rPr>
                <w:bCs/>
                <w:szCs w:val="24"/>
              </w:rPr>
              <w:t>监测</w:t>
            </w:r>
            <w:r>
              <w:rPr>
                <w:bCs/>
                <w:color w:val="000000"/>
                <w:szCs w:val="24"/>
              </w:rPr>
              <w:t>期间，该项目主体工程调试工况</w:t>
            </w:r>
            <w:r>
              <w:rPr>
                <w:rFonts w:ascii="Times New Roman Regular" w:hAnsi="Times New Roman Regular" w:cs="Times New Roman Regular"/>
                <w:bCs/>
                <w:color w:val="000000"/>
                <w:szCs w:val="24"/>
              </w:rPr>
              <w:t>≥75%</w:t>
            </w:r>
            <w:r>
              <w:rPr>
                <w:bCs/>
                <w:color w:val="000000"/>
                <w:szCs w:val="24"/>
              </w:rPr>
              <w:t>，各项环境保护设施运行正常，符合验收</w:t>
            </w:r>
            <w:r>
              <w:rPr>
                <w:bCs/>
                <w:szCs w:val="24"/>
              </w:rPr>
              <w:t>监测</w:t>
            </w:r>
            <w:r>
              <w:rPr>
                <w:bCs/>
                <w:color w:val="000000"/>
                <w:szCs w:val="24"/>
              </w:rPr>
              <w:t>期间对生产工况的要求。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520" w:lineRule="exact"/>
              <w:textAlignment w:val="baseline"/>
              <w:rPr>
                <w:rFonts w:ascii="宋体" w:hAnsi="宋体" w:cs="宋体"/>
                <w:bCs/>
                <w:szCs w:val="24"/>
              </w:rPr>
            </w:pPr>
            <w:r>
              <w:rPr>
                <w:rFonts w:hint="eastAsia" w:ascii="宋体" w:hAnsi="宋体" w:cs="宋体"/>
                <w:bCs/>
                <w:szCs w:val="24"/>
              </w:rPr>
              <w:t>验收监测结果：</w:t>
            </w:r>
          </w:p>
          <w:p>
            <w:pPr>
              <w:spacing w:line="520" w:lineRule="exact"/>
              <w:ind w:firstLine="482"/>
              <w:textAlignment w:val="baseline"/>
              <w:rPr>
                <w:b/>
                <w:bCs/>
                <w:szCs w:val="24"/>
              </w:rPr>
            </w:pPr>
            <w:r>
              <w:rPr>
                <w:rFonts w:ascii="宋体" w:hAnsi="宋体"/>
                <w:b/>
                <w:bCs/>
                <w:szCs w:val="24"/>
              </w:rPr>
              <w:t>一</w:t>
            </w:r>
            <w:r>
              <w:rPr>
                <w:rFonts w:hint="eastAsia" w:ascii="宋体" w:hAnsi="宋体"/>
                <w:b/>
                <w:bCs/>
                <w:szCs w:val="24"/>
              </w:rPr>
              <w:t>、</w:t>
            </w:r>
            <w:r>
              <w:rPr>
                <w:rFonts w:ascii="宋体" w:hAnsi="宋体"/>
                <w:b/>
                <w:bCs/>
                <w:szCs w:val="24"/>
              </w:rPr>
              <w:t>环境保护设施调试效果</w:t>
            </w:r>
          </w:p>
          <w:p>
            <w:pPr>
              <w:spacing w:line="520" w:lineRule="exact"/>
              <w:ind w:firstLine="482"/>
              <w:rPr>
                <w:b/>
                <w:szCs w:val="24"/>
              </w:rPr>
            </w:pPr>
            <w:bookmarkStart w:id="1" w:name="_Toc502673723"/>
            <w:r>
              <w:rPr>
                <w:rFonts w:hint="eastAsia"/>
                <w:b/>
                <w:szCs w:val="24"/>
              </w:rPr>
              <w:t>1</w:t>
            </w:r>
            <w:r>
              <w:rPr>
                <w:rFonts w:hint="eastAsia" w:ascii="宋体" w:hAnsi="宋体"/>
                <w:b/>
                <w:szCs w:val="24"/>
              </w:rPr>
              <w:t>、污染物</w:t>
            </w:r>
            <w:bookmarkEnd w:id="1"/>
            <w:r>
              <w:rPr>
                <w:rFonts w:ascii="宋体" w:hAnsi="宋体"/>
                <w:b/>
                <w:szCs w:val="24"/>
              </w:rPr>
              <w:t>排放监测结果</w:t>
            </w:r>
          </w:p>
          <w:p>
            <w:pPr>
              <w:spacing w:line="520" w:lineRule="exact"/>
              <w:ind w:firstLine="482"/>
              <w:rPr>
                <w:b/>
                <w:bCs/>
                <w:szCs w:val="24"/>
                <w:lang w:eastAsia="zh-Hans"/>
              </w:rPr>
            </w:pPr>
            <w:r>
              <w:rPr>
                <w:rFonts w:hint="eastAsia" w:ascii="宋体" w:hAnsi="宋体"/>
                <w:b/>
                <w:szCs w:val="24"/>
              </w:rPr>
              <w:t>（</w:t>
            </w:r>
            <w:r>
              <w:rPr>
                <w:rFonts w:hint="eastAsia"/>
                <w:b/>
                <w:szCs w:val="24"/>
              </w:rPr>
              <w:t>1</w:t>
            </w:r>
            <w:r>
              <w:rPr>
                <w:rFonts w:hint="eastAsia" w:ascii="宋体" w:hAnsi="宋体"/>
                <w:b/>
                <w:szCs w:val="24"/>
              </w:rPr>
              <w:t>）</w:t>
            </w:r>
            <w:r>
              <w:rPr>
                <w:rFonts w:hint="eastAsia" w:ascii="宋体" w:hAnsi="宋体"/>
                <w:b/>
                <w:szCs w:val="24"/>
                <w:lang w:eastAsia="zh-Hans"/>
              </w:rPr>
              <w:t>废气</w:t>
            </w:r>
          </w:p>
          <w:p>
            <w:pPr>
              <w:pStyle w:val="32"/>
              <w:ind w:firstLine="480"/>
            </w:pPr>
            <w:r>
              <w:t>表</w:t>
            </w:r>
            <w:r>
              <w:rPr>
                <w:rFonts w:hint="eastAsia"/>
              </w:rPr>
              <w:t>1</w:t>
            </w:r>
            <w:r>
              <w:rPr>
                <w:rFonts w:hint="eastAsia"/>
                <w:lang w:val="en-US" w:eastAsia="zh-CN"/>
              </w:rPr>
              <w:t>4</w:t>
            </w:r>
            <w:r>
              <w:rPr>
                <w:rFonts w:hint="eastAsia"/>
              </w:rPr>
              <w:t xml:space="preserve">          废气无组织排放检测结果（一）              </w:t>
            </w:r>
            <w:r>
              <w:t>单位：mg/L</w:t>
            </w:r>
          </w:p>
          <w:tbl>
            <w:tblPr>
              <w:tblStyle w:val="1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729"/>
              <w:gridCol w:w="1611"/>
              <w:gridCol w:w="1612"/>
              <w:gridCol w:w="1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902" w:type="pct"/>
                  <w:vMerge w:val="restart"/>
                  <w:tcBorders>
                    <w:tl2br w:val="nil"/>
                    <w:tr2bl w:val="nil"/>
                  </w:tcBorders>
                  <w:vAlign w:val="center"/>
                </w:tcPr>
                <w:p>
                  <w:pPr>
                    <w:widowControl/>
                    <w:adjustRightInd/>
                    <w:spacing w:line="240" w:lineRule="auto"/>
                    <w:jc w:val="center"/>
                    <w:rPr>
                      <w:b/>
                      <w:bCs/>
                      <w:sz w:val="21"/>
                      <w:szCs w:val="21"/>
                    </w:rPr>
                  </w:pPr>
                  <w:r>
                    <w:rPr>
                      <w:b/>
                      <w:bCs/>
                      <w:sz w:val="21"/>
                      <w:szCs w:val="21"/>
                    </w:rPr>
                    <w:t>采样日期</w:t>
                  </w:r>
                </w:p>
              </w:tc>
              <w:tc>
                <w:tcPr>
                  <w:tcW w:w="1041" w:type="pct"/>
                  <w:vMerge w:val="restart"/>
                  <w:tcBorders>
                    <w:tl2br w:val="nil"/>
                    <w:tr2bl w:val="nil"/>
                  </w:tcBorders>
                  <w:vAlign w:val="center"/>
                </w:tcPr>
                <w:p>
                  <w:pPr>
                    <w:widowControl/>
                    <w:adjustRightInd/>
                    <w:spacing w:line="240" w:lineRule="auto"/>
                    <w:jc w:val="center"/>
                    <w:rPr>
                      <w:b/>
                      <w:bCs/>
                      <w:sz w:val="21"/>
                      <w:szCs w:val="21"/>
                    </w:rPr>
                  </w:pPr>
                  <w:r>
                    <w:rPr>
                      <w:b/>
                      <w:bCs/>
                      <w:sz w:val="21"/>
                      <w:szCs w:val="21"/>
                    </w:rPr>
                    <w:t>检测点位</w:t>
                  </w:r>
                </w:p>
              </w:tc>
              <w:tc>
                <w:tcPr>
                  <w:tcW w:w="1941" w:type="pct"/>
                  <w:gridSpan w:val="2"/>
                  <w:tcBorders>
                    <w:tl2br w:val="nil"/>
                    <w:tr2bl w:val="nil"/>
                  </w:tcBorders>
                  <w:vAlign w:val="center"/>
                </w:tcPr>
                <w:p>
                  <w:pPr>
                    <w:widowControl/>
                    <w:adjustRightInd/>
                    <w:spacing w:line="240" w:lineRule="auto"/>
                    <w:jc w:val="center"/>
                    <w:rPr>
                      <w:b/>
                      <w:bCs/>
                      <w:sz w:val="21"/>
                      <w:szCs w:val="21"/>
                    </w:rPr>
                  </w:pPr>
                  <w:r>
                    <w:rPr>
                      <w:b/>
                      <w:bCs/>
                      <w:sz w:val="21"/>
                      <w:szCs w:val="21"/>
                    </w:rPr>
                    <w:t>非甲烷总烃（mg/m</w:t>
                  </w:r>
                  <w:r>
                    <w:rPr>
                      <w:b/>
                      <w:bCs/>
                      <w:sz w:val="21"/>
                      <w:szCs w:val="21"/>
                      <w:vertAlign w:val="superscript"/>
                    </w:rPr>
                    <w:t>3</w:t>
                  </w:r>
                  <w:r>
                    <w:rPr>
                      <w:b/>
                      <w:bCs/>
                      <w:sz w:val="21"/>
                      <w:szCs w:val="21"/>
                    </w:rPr>
                    <w:t>）</w:t>
                  </w:r>
                  <w:r>
                    <w:rPr>
                      <w:rFonts w:hint="eastAsia"/>
                      <w:b/>
                      <w:bCs/>
                      <w:sz w:val="21"/>
                      <w:szCs w:val="21"/>
                    </w:rPr>
                    <w:t>（以碳计）</w:t>
                  </w:r>
                </w:p>
              </w:tc>
              <w:tc>
                <w:tcPr>
                  <w:tcW w:w="1113" w:type="pct"/>
                  <w:vMerge w:val="restart"/>
                  <w:tcBorders>
                    <w:tl2br w:val="nil"/>
                    <w:tr2bl w:val="nil"/>
                  </w:tcBorders>
                  <w:vAlign w:val="center"/>
                </w:tcPr>
                <w:p>
                  <w:pPr>
                    <w:widowControl/>
                    <w:adjustRightInd/>
                    <w:spacing w:line="240" w:lineRule="auto"/>
                    <w:jc w:val="center"/>
                    <w:rPr>
                      <w:b/>
                      <w:bCs/>
                      <w:sz w:val="21"/>
                      <w:szCs w:val="21"/>
                    </w:rPr>
                  </w:pPr>
                  <w:r>
                    <w:rPr>
                      <w:b/>
                      <w:bCs/>
                      <w:sz w:val="21"/>
                      <w:szCs w:val="21"/>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902" w:type="pct"/>
                  <w:vMerge w:val="continue"/>
                  <w:tcBorders>
                    <w:tl2br w:val="nil"/>
                    <w:tr2bl w:val="nil"/>
                  </w:tcBorders>
                  <w:vAlign w:val="center"/>
                </w:tcPr>
                <w:p>
                  <w:pPr>
                    <w:widowControl/>
                    <w:adjustRightInd/>
                    <w:spacing w:line="240" w:lineRule="auto"/>
                    <w:jc w:val="center"/>
                    <w:rPr>
                      <w:b/>
                      <w:bCs/>
                      <w:sz w:val="21"/>
                      <w:szCs w:val="21"/>
                    </w:rPr>
                  </w:pPr>
                </w:p>
              </w:tc>
              <w:tc>
                <w:tcPr>
                  <w:tcW w:w="1041" w:type="pct"/>
                  <w:vMerge w:val="continue"/>
                  <w:tcBorders>
                    <w:tl2br w:val="nil"/>
                    <w:tr2bl w:val="nil"/>
                  </w:tcBorders>
                  <w:vAlign w:val="center"/>
                </w:tcPr>
                <w:p>
                  <w:pPr>
                    <w:widowControl/>
                    <w:adjustRightInd/>
                    <w:spacing w:line="240" w:lineRule="auto"/>
                    <w:jc w:val="center"/>
                    <w:rPr>
                      <w:b/>
                      <w:bCs/>
                      <w:sz w:val="21"/>
                      <w:szCs w:val="21"/>
                    </w:rPr>
                  </w:pPr>
                </w:p>
              </w:tc>
              <w:tc>
                <w:tcPr>
                  <w:tcW w:w="970" w:type="pct"/>
                  <w:tcBorders>
                    <w:tl2br w:val="nil"/>
                    <w:tr2bl w:val="nil"/>
                  </w:tcBorders>
                  <w:vAlign w:val="center"/>
                </w:tcPr>
                <w:p>
                  <w:pPr>
                    <w:widowControl/>
                    <w:adjustRightInd/>
                    <w:spacing w:line="240" w:lineRule="auto"/>
                    <w:ind w:left="-120" w:leftChars="-50" w:right="-120" w:rightChars="-50"/>
                    <w:jc w:val="center"/>
                    <w:rPr>
                      <w:b/>
                      <w:bCs/>
                      <w:sz w:val="21"/>
                      <w:szCs w:val="21"/>
                    </w:rPr>
                  </w:pPr>
                  <w:r>
                    <w:rPr>
                      <w:b/>
                      <w:bCs/>
                      <w:sz w:val="21"/>
                      <w:szCs w:val="21"/>
                    </w:rPr>
                    <w:t>检测浓度</w:t>
                  </w:r>
                </w:p>
              </w:tc>
              <w:tc>
                <w:tcPr>
                  <w:tcW w:w="971" w:type="pct"/>
                  <w:tcBorders>
                    <w:tl2br w:val="nil"/>
                    <w:tr2bl w:val="nil"/>
                  </w:tcBorders>
                  <w:vAlign w:val="center"/>
                </w:tcPr>
                <w:p>
                  <w:pPr>
                    <w:widowControl/>
                    <w:adjustRightInd/>
                    <w:spacing w:line="240" w:lineRule="auto"/>
                    <w:ind w:left="-120" w:leftChars="-50" w:right="-120" w:rightChars="-50"/>
                    <w:jc w:val="center"/>
                    <w:rPr>
                      <w:b/>
                      <w:bCs/>
                      <w:sz w:val="21"/>
                      <w:szCs w:val="21"/>
                    </w:rPr>
                  </w:pPr>
                  <w:r>
                    <w:rPr>
                      <w:b/>
                      <w:bCs/>
                      <w:sz w:val="21"/>
                      <w:szCs w:val="21"/>
                    </w:rPr>
                    <w:t>无组织排放浓度</w:t>
                  </w:r>
                </w:p>
              </w:tc>
              <w:tc>
                <w:tcPr>
                  <w:tcW w:w="1113" w:type="pct"/>
                  <w:vMerge w:val="continue"/>
                  <w:tcBorders>
                    <w:tl2br w:val="nil"/>
                    <w:tr2bl w:val="nil"/>
                  </w:tcBorders>
                  <w:vAlign w:val="center"/>
                </w:tcPr>
                <w:p>
                  <w:pPr>
                    <w:widowControl/>
                    <w:adjustRightInd/>
                    <w:spacing w:line="240" w:lineRule="auto"/>
                    <w:jc w:val="center"/>
                    <w:rPr>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2022.08.08</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08:00-09:00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0.44</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0.63</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温度：25.3℃</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气压：100.0KPa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风速：2.2m/s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0.63</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0.58</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0.52</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2022.08.08</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11:00-12:00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0.49</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0.64</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温度：32.4℃</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气压：99.3KPa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风速：2.4m/s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0.60</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0.64</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0.62</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2022.08.08</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14:00-15:00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0.46</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0.57</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温度：33.0℃</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气压：99.2KPa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风速：2.6m/s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0.55</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0.57</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0.54</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2022.08.08</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17:00-18:00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0.46</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0.67</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温度：29.4℃</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气压：99.6KPa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风速：2.3m/s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0.56</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0.67</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0.57</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2022.08.09</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08:00-09:00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0.41</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0.64</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温度：23.2℃</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气压：100.2KPa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风速：2.5m/s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0.64</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0.63</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0.63</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2022.08.09</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11:00-12:00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0.44</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0.58</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温度：28.6℃</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气压：99.7KPa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风速：2.7m/s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0.52</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0.58</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0.51</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2022.08.09</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14:00-15:00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0.41</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0.63</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温度：29.3℃</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气压：99.6KPa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风速：2.4m/s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厂界下风向2#</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0.58</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厂界下风向3#</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0.60</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厂界下风向4#</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0.63</w:t>
                  </w:r>
                </w:p>
              </w:tc>
              <w:tc>
                <w:tcPr>
                  <w:tcW w:w="971" w:type="pct"/>
                  <w:vMerge w:val="continue"/>
                  <w:tcBorders>
                    <w:tl2br w:val="nil"/>
                    <w:tr2bl w:val="nil"/>
                  </w:tcBorders>
                  <w:vAlign w:val="center"/>
                </w:tcPr>
                <w:p>
                  <w:pPr>
                    <w:pStyle w:val="35"/>
                    <w:bidi w:val="0"/>
                    <w:rPr>
                      <w:rFonts w:hint="default" w:ascii="Times New Roman" w:hAnsi="Times New Roman" w:eastAsia="宋体" w:cs="Times New Roman"/>
                      <w:sz w:val="21"/>
                      <w:szCs w:val="21"/>
                    </w:rPr>
                  </w:pPr>
                </w:p>
              </w:tc>
              <w:tc>
                <w:tcPr>
                  <w:tcW w:w="1113" w:type="pct"/>
                  <w:vMerge w:val="continue"/>
                  <w:tcBorders>
                    <w:tl2br w:val="nil"/>
                    <w:tr2bl w:val="nil"/>
                  </w:tcBorders>
                  <w:vAlign w:val="center"/>
                </w:tcPr>
                <w:p>
                  <w:pPr>
                    <w:pStyle w:val="35"/>
                    <w:bidi w:val="0"/>
                    <w:jc w:val="left"/>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restart"/>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2022.08.09</w:t>
                  </w:r>
                </w:p>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17:00-18:00</w:t>
                  </w:r>
                </w:p>
              </w:tc>
              <w:tc>
                <w:tcPr>
                  <w:tcW w:w="1041"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厂界上风向1#</w:t>
                  </w:r>
                </w:p>
              </w:tc>
              <w:tc>
                <w:tcPr>
                  <w:tcW w:w="970" w:type="pc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0.44</w:t>
                  </w:r>
                </w:p>
              </w:tc>
              <w:tc>
                <w:tcPr>
                  <w:tcW w:w="971" w:type="pct"/>
                  <w:vMerge w:val="restart"/>
                  <w:tcBorders>
                    <w:tl2br w:val="nil"/>
                    <w:tr2bl w:val="nil"/>
                  </w:tcBorders>
                  <w:vAlign w:val="center"/>
                </w:tcPr>
                <w:p>
                  <w:pPr>
                    <w:pStyle w:val="3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0.60</w:t>
                  </w:r>
                </w:p>
              </w:tc>
              <w:tc>
                <w:tcPr>
                  <w:tcW w:w="1113" w:type="pct"/>
                  <w:vMerge w:val="restart"/>
                  <w:tcBorders>
                    <w:tl2br w:val="nil"/>
                    <w:tr2bl w:val="nil"/>
                  </w:tcBorders>
                  <w:vAlign w:val="center"/>
                </w:tcPr>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天气：阴</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温度：26.4℃</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气压：99.9KPa</w:t>
                  </w:r>
                </w:p>
                <w:p>
                  <w:pPr>
                    <w:pStyle w:val="35"/>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风向：NE</w:t>
                  </w:r>
                </w:p>
                <w:p>
                  <w:pPr>
                    <w:pStyle w:val="35"/>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风速：2.8m/s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widowControl w:val="0"/>
                    <w:spacing w:line="240" w:lineRule="auto"/>
                    <w:jc w:val="center"/>
                    <w:rPr>
                      <w:color w:val="000000"/>
                      <w:sz w:val="21"/>
                      <w:szCs w:val="21"/>
                    </w:rPr>
                  </w:pPr>
                </w:p>
              </w:tc>
              <w:tc>
                <w:tcPr>
                  <w:tcW w:w="1041" w:type="pct"/>
                  <w:tcBorders>
                    <w:tl2br w:val="nil"/>
                    <w:tr2bl w:val="nil"/>
                  </w:tcBorders>
                  <w:vAlign w:val="center"/>
                </w:tcPr>
                <w:p>
                  <w:pPr>
                    <w:widowControl w:val="0"/>
                    <w:spacing w:line="240" w:lineRule="auto"/>
                    <w:jc w:val="center"/>
                    <w:rPr>
                      <w:sz w:val="21"/>
                      <w:szCs w:val="21"/>
                    </w:rPr>
                  </w:pPr>
                  <w:r>
                    <w:rPr>
                      <w:rFonts w:hint="eastAsia"/>
                      <w:sz w:val="21"/>
                      <w:szCs w:val="21"/>
                    </w:rPr>
                    <w:t>厂界</w:t>
                  </w:r>
                  <w:r>
                    <w:rPr>
                      <w:sz w:val="21"/>
                      <w:szCs w:val="21"/>
                    </w:rPr>
                    <w:t>下风向2#</w:t>
                  </w:r>
                </w:p>
              </w:tc>
              <w:tc>
                <w:tcPr>
                  <w:tcW w:w="1611"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sz w:val="21"/>
                      <w:szCs w:val="21"/>
                    </w:rPr>
                  </w:pPr>
                  <w:r>
                    <w:rPr>
                      <w:rFonts w:hint="eastAsia" w:cs="Times New Roman"/>
                      <w:color w:val="auto"/>
                      <w:sz w:val="21"/>
                      <w:szCs w:val="21"/>
                      <w:lang w:val="en-US" w:eastAsia="zh-CN"/>
                    </w:rPr>
                    <w:t>0.58</w:t>
                  </w:r>
                </w:p>
              </w:tc>
              <w:tc>
                <w:tcPr>
                  <w:tcW w:w="971" w:type="pct"/>
                  <w:vMerge w:val="continue"/>
                  <w:tcBorders>
                    <w:tl2br w:val="nil"/>
                    <w:tr2bl w:val="nil"/>
                  </w:tcBorders>
                  <w:vAlign w:val="center"/>
                </w:tcPr>
                <w:p>
                  <w:pPr>
                    <w:widowControl/>
                    <w:spacing w:line="240" w:lineRule="auto"/>
                    <w:jc w:val="center"/>
                    <w:textAlignment w:val="center"/>
                    <w:rPr>
                      <w:sz w:val="21"/>
                      <w:szCs w:val="21"/>
                      <w:lang w:bidi="ar"/>
                    </w:rPr>
                  </w:pPr>
                </w:p>
              </w:tc>
              <w:tc>
                <w:tcPr>
                  <w:tcW w:w="1113" w:type="pct"/>
                  <w:vMerge w:val="continue"/>
                  <w:tcBorders>
                    <w:tl2br w:val="nil"/>
                    <w:tr2bl w:val="nil"/>
                  </w:tcBorders>
                  <w:vAlign w:val="center"/>
                </w:tcPr>
                <w:p>
                  <w:pPr>
                    <w:widowControl w:val="0"/>
                    <w:spacing w:line="240" w:lineRule="auto"/>
                    <w:ind w:left="-72" w:leftChars="-30" w:right="-120" w:rightChars="-5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widowControl w:val="0"/>
                    <w:spacing w:line="240" w:lineRule="auto"/>
                    <w:jc w:val="center"/>
                    <w:rPr>
                      <w:color w:val="000000"/>
                      <w:sz w:val="21"/>
                      <w:szCs w:val="21"/>
                    </w:rPr>
                  </w:pPr>
                </w:p>
              </w:tc>
              <w:tc>
                <w:tcPr>
                  <w:tcW w:w="1041" w:type="pct"/>
                  <w:tcBorders>
                    <w:tl2br w:val="nil"/>
                    <w:tr2bl w:val="nil"/>
                  </w:tcBorders>
                  <w:vAlign w:val="center"/>
                </w:tcPr>
                <w:p>
                  <w:pPr>
                    <w:widowControl w:val="0"/>
                    <w:spacing w:line="240" w:lineRule="auto"/>
                    <w:jc w:val="center"/>
                    <w:rPr>
                      <w:sz w:val="21"/>
                      <w:szCs w:val="21"/>
                    </w:rPr>
                  </w:pPr>
                  <w:r>
                    <w:rPr>
                      <w:rFonts w:hint="eastAsia"/>
                      <w:sz w:val="21"/>
                      <w:szCs w:val="21"/>
                    </w:rPr>
                    <w:t>厂界</w:t>
                  </w:r>
                  <w:r>
                    <w:rPr>
                      <w:sz w:val="21"/>
                      <w:szCs w:val="21"/>
                    </w:rPr>
                    <w:t>下风向3#</w:t>
                  </w:r>
                </w:p>
              </w:tc>
              <w:tc>
                <w:tcPr>
                  <w:tcW w:w="1611"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sz w:val="21"/>
                      <w:szCs w:val="21"/>
                    </w:rPr>
                  </w:pPr>
                  <w:r>
                    <w:rPr>
                      <w:rFonts w:hint="eastAsia" w:cs="Times New Roman"/>
                      <w:color w:val="auto"/>
                      <w:sz w:val="21"/>
                      <w:szCs w:val="21"/>
                      <w:lang w:val="en-US" w:eastAsia="zh-CN"/>
                    </w:rPr>
                    <w:t>0.60</w:t>
                  </w:r>
                </w:p>
              </w:tc>
              <w:tc>
                <w:tcPr>
                  <w:tcW w:w="971" w:type="pct"/>
                  <w:vMerge w:val="continue"/>
                  <w:tcBorders>
                    <w:tl2br w:val="nil"/>
                    <w:tr2bl w:val="nil"/>
                  </w:tcBorders>
                  <w:vAlign w:val="center"/>
                </w:tcPr>
                <w:p>
                  <w:pPr>
                    <w:widowControl/>
                    <w:spacing w:line="240" w:lineRule="auto"/>
                    <w:jc w:val="center"/>
                    <w:textAlignment w:val="center"/>
                    <w:rPr>
                      <w:sz w:val="21"/>
                      <w:szCs w:val="21"/>
                      <w:lang w:bidi="ar"/>
                    </w:rPr>
                  </w:pPr>
                </w:p>
              </w:tc>
              <w:tc>
                <w:tcPr>
                  <w:tcW w:w="1113" w:type="pct"/>
                  <w:vMerge w:val="continue"/>
                  <w:tcBorders>
                    <w:tl2br w:val="nil"/>
                    <w:tr2bl w:val="nil"/>
                  </w:tcBorders>
                  <w:vAlign w:val="center"/>
                </w:tcPr>
                <w:p>
                  <w:pPr>
                    <w:widowControl w:val="0"/>
                    <w:spacing w:line="240" w:lineRule="auto"/>
                    <w:ind w:left="-72" w:leftChars="-30" w:right="-120" w:rightChars="-5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2" w:type="pct"/>
                  <w:vMerge w:val="continue"/>
                  <w:tcBorders>
                    <w:tl2br w:val="nil"/>
                    <w:tr2bl w:val="nil"/>
                  </w:tcBorders>
                  <w:vAlign w:val="center"/>
                </w:tcPr>
                <w:p>
                  <w:pPr>
                    <w:widowControl w:val="0"/>
                    <w:spacing w:line="240" w:lineRule="auto"/>
                    <w:jc w:val="center"/>
                    <w:rPr>
                      <w:color w:val="000000"/>
                      <w:sz w:val="21"/>
                      <w:szCs w:val="21"/>
                    </w:rPr>
                  </w:pPr>
                </w:p>
              </w:tc>
              <w:tc>
                <w:tcPr>
                  <w:tcW w:w="1041" w:type="pct"/>
                  <w:tcBorders>
                    <w:tl2br w:val="nil"/>
                    <w:tr2bl w:val="nil"/>
                  </w:tcBorders>
                  <w:vAlign w:val="center"/>
                </w:tcPr>
                <w:p>
                  <w:pPr>
                    <w:widowControl w:val="0"/>
                    <w:spacing w:line="240" w:lineRule="auto"/>
                    <w:jc w:val="center"/>
                    <w:rPr>
                      <w:sz w:val="21"/>
                      <w:szCs w:val="21"/>
                    </w:rPr>
                  </w:pPr>
                  <w:r>
                    <w:rPr>
                      <w:rFonts w:hint="eastAsia"/>
                      <w:sz w:val="21"/>
                      <w:szCs w:val="21"/>
                    </w:rPr>
                    <w:t>厂界</w:t>
                  </w:r>
                  <w:r>
                    <w:rPr>
                      <w:sz w:val="21"/>
                      <w:szCs w:val="21"/>
                    </w:rPr>
                    <w:t>下风向4#</w:t>
                  </w:r>
                </w:p>
              </w:tc>
              <w:tc>
                <w:tcPr>
                  <w:tcW w:w="1611"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sz w:val="21"/>
                      <w:szCs w:val="21"/>
                    </w:rPr>
                  </w:pPr>
                  <w:r>
                    <w:rPr>
                      <w:rFonts w:hint="eastAsia" w:cs="Times New Roman"/>
                      <w:color w:val="auto"/>
                      <w:sz w:val="21"/>
                      <w:szCs w:val="21"/>
                      <w:lang w:val="en-US" w:eastAsia="zh-CN"/>
                    </w:rPr>
                    <w:t>0.59</w:t>
                  </w:r>
                </w:p>
              </w:tc>
              <w:tc>
                <w:tcPr>
                  <w:tcW w:w="971" w:type="pct"/>
                  <w:vMerge w:val="continue"/>
                  <w:tcBorders>
                    <w:tl2br w:val="nil"/>
                    <w:tr2bl w:val="nil"/>
                  </w:tcBorders>
                  <w:vAlign w:val="center"/>
                </w:tcPr>
                <w:p>
                  <w:pPr>
                    <w:widowControl/>
                    <w:spacing w:line="240" w:lineRule="auto"/>
                    <w:jc w:val="center"/>
                    <w:textAlignment w:val="center"/>
                    <w:rPr>
                      <w:sz w:val="21"/>
                      <w:szCs w:val="21"/>
                      <w:lang w:bidi="ar"/>
                    </w:rPr>
                  </w:pPr>
                </w:p>
              </w:tc>
              <w:tc>
                <w:tcPr>
                  <w:tcW w:w="1113" w:type="pct"/>
                  <w:vMerge w:val="continue"/>
                  <w:tcBorders>
                    <w:tl2br w:val="nil"/>
                    <w:tr2bl w:val="nil"/>
                  </w:tcBorders>
                  <w:vAlign w:val="center"/>
                </w:tcPr>
                <w:p>
                  <w:pPr>
                    <w:widowControl w:val="0"/>
                    <w:spacing w:line="240" w:lineRule="auto"/>
                    <w:ind w:left="-72" w:leftChars="-30" w:right="-120" w:rightChars="-50"/>
                    <w:jc w:val="center"/>
                    <w:rPr>
                      <w:sz w:val="21"/>
                      <w:szCs w:val="21"/>
                    </w:rPr>
                  </w:pPr>
                </w:p>
              </w:tc>
            </w:tr>
          </w:tbl>
          <w:p>
            <w:pPr>
              <w:ind w:firstLine="480" w:firstLineChars="200"/>
              <w:rPr>
                <w:szCs w:val="24"/>
              </w:rPr>
            </w:pPr>
            <w:r>
              <w:rPr>
                <w:rFonts w:hint="eastAsia"/>
                <w:color w:val="000000"/>
                <w:szCs w:val="24"/>
                <w:lang w:eastAsia="zh-Hans"/>
              </w:rPr>
              <w:t>根据检测结果</w:t>
            </w:r>
            <w:r>
              <w:rPr>
                <w:color w:val="000000"/>
                <w:szCs w:val="24"/>
                <w:lang w:eastAsia="zh-Hans"/>
              </w:rPr>
              <w:t>，</w:t>
            </w:r>
            <w:r>
              <w:rPr>
                <w:rFonts w:hint="eastAsia"/>
                <w:color w:val="000000"/>
                <w:szCs w:val="24"/>
                <w:lang w:eastAsia="zh-Hans"/>
              </w:rPr>
              <w:t>该项目的非甲烷总烃厂界无组织废气为</w:t>
            </w:r>
            <w:r>
              <w:rPr>
                <w:color w:val="000000"/>
                <w:szCs w:val="24"/>
                <w:lang w:eastAsia="zh-Hans"/>
              </w:rPr>
              <w:t>0</w:t>
            </w:r>
            <w:r>
              <w:rPr>
                <w:rFonts w:hint="eastAsia"/>
                <w:color w:val="000000"/>
                <w:szCs w:val="24"/>
                <w:lang w:eastAsia="zh-Hans"/>
              </w:rPr>
              <w:t>.</w:t>
            </w:r>
            <w:r>
              <w:rPr>
                <w:color w:val="000000"/>
                <w:szCs w:val="24"/>
                <w:lang w:eastAsia="zh-Hans"/>
              </w:rPr>
              <w:t>4</w:t>
            </w:r>
            <w:r>
              <w:rPr>
                <w:rFonts w:hint="eastAsia"/>
                <w:color w:val="000000"/>
                <w:szCs w:val="24"/>
                <w:lang w:val="en-US" w:eastAsia="zh-CN"/>
              </w:rPr>
              <w:t>1</w:t>
            </w:r>
            <w:r>
              <w:rPr>
                <w:color w:val="000000"/>
                <w:szCs w:val="24"/>
                <w:lang w:eastAsia="zh-Hans"/>
              </w:rPr>
              <w:t>-0</w:t>
            </w:r>
            <w:r>
              <w:rPr>
                <w:rFonts w:hint="eastAsia"/>
                <w:color w:val="000000"/>
                <w:szCs w:val="24"/>
                <w:lang w:eastAsia="zh-Hans"/>
              </w:rPr>
              <w:t>.</w:t>
            </w:r>
            <w:r>
              <w:rPr>
                <w:color w:val="000000"/>
                <w:szCs w:val="24"/>
                <w:lang w:eastAsia="zh-Hans"/>
              </w:rPr>
              <w:t>6</w:t>
            </w:r>
            <w:r>
              <w:rPr>
                <w:rFonts w:hint="eastAsia"/>
                <w:color w:val="000000"/>
                <w:szCs w:val="24"/>
                <w:lang w:val="en-US" w:eastAsia="zh-CN"/>
              </w:rPr>
              <w:t>7</w:t>
            </w:r>
            <w:r>
              <w:rPr>
                <w:color w:val="000000"/>
                <w:szCs w:val="24"/>
                <w:lang w:eastAsia="zh-Hans"/>
              </w:rPr>
              <w:t>mg/m</w:t>
            </w:r>
            <w:r>
              <w:rPr>
                <w:color w:val="000000"/>
                <w:szCs w:val="24"/>
                <w:vertAlign w:val="superscript"/>
                <w:lang w:eastAsia="zh-Hans"/>
              </w:rPr>
              <w:t>3</w:t>
            </w:r>
            <w:r>
              <w:rPr>
                <w:color w:val="000000"/>
                <w:szCs w:val="24"/>
                <w:lang w:eastAsia="zh-Hans"/>
              </w:rPr>
              <w:t>，</w:t>
            </w:r>
            <w:r>
              <w:rPr>
                <w:rFonts w:hint="eastAsia"/>
                <w:color w:val="000000"/>
                <w:szCs w:val="24"/>
                <w:lang w:eastAsia="zh-Hans"/>
              </w:rPr>
              <w:t>可以满足</w:t>
            </w:r>
            <w:r>
              <w:rPr>
                <w:szCs w:val="24"/>
              </w:rPr>
              <w:t>《大气污染物综合排放标准》（GB16297-1996）二级标准</w:t>
            </w:r>
            <w:r>
              <w:rPr>
                <w:rFonts w:hint="eastAsia"/>
                <w:szCs w:val="24"/>
              </w:rPr>
              <w:t>中非甲烷总烃</w:t>
            </w:r>
            <w:r>
              <w:rPr>
                <w:szCs w:val="24"/>
              </w:rPr>
              <w:t>无组织排放监控浓度限值浓度，</w:t>
            </w:r>
            <w:r>
              <w:rPr>
                <w:rFonts w:hint="eastAsia"/>
                <w:szCs w:val="24"/>
              </w:rPr>
              <w:t>即4.0</w:t>
            </w:r>
            <w:r>
              <w:rPr>
                <w:szCs w:val="24"/>
              </w:rPr>
              <w:t>mg/m</w:t>
            </w:r>
            <w:r>
              <w:rPr>
                <w:szCs w:val="24"/>
                <w:vertAlign w:val="superscript"/>
              </w:rPr>
              <w:t>3</w:t>
            </w:r>
            <w:r>
              <w:rPr>
                <w:rFonts w:hint="eastAsia"/>
                <w:szCs w:val="24"/>
                <w:lang w:eastAsia="zh-Hans"/>
              </w:rPr>
              <w:t>，</w:t>
            </w:r>
            <w:r>
              <w:rPr>
                <w:rFonts w:hint="eastAsia"/>
                <w:szCs w:val="24"/>
              </w:rPr>
              <w:t>同时</w:t>
            </w:r>
            <w:r>
              <w:rPr>
                <w:rFonts w:hint="eastAsia"/>
                <w:szCs w:val="24"/>
                <w:lang w:eastAsia="zh-Hans"/>
              </w:rPr>
              <w:t>也</w:t>
            </w:r>
            <w:r>
              <w:rPr>
                <w:rFonts w:hint="eastAsia"/>
                <w:szCs w:val="24"/>
              </w:rPr>
              <w:t>满足河南省环境污染防治攻坚战领导小组办公室文件（豫环攻坚办[2017] 162号）工业企业边界排放值：2.0</w:t>
            </w:r>
            <w:r>
              <w:rPr>
                <w:szCs w:val="24"/>
              </w:rPr>
              <w:t>mg/m</w:t>
            </w:r>
            <w:r>
              <w:rPr>
                <w:szCs w:val="24"/>
                <w:vertAlign w:val="superscript"/>
              </w:rPr>
              <w:t>3</w:t>
            </w:r>
            <w:r>
              <w:rPr>
                <w:rFonts w:hint="eastAsia"/>
                <w:szCs w:val="24"/>
              </w:rPr>
              <w:t>的要求。</w:t>
            </w:r>
          </w:p>
          <w:p>
            <w:pPr>
              <w:pStyle w:val="32"/>
              <w:ind w:firstLine="480"/>
              <w:rPr>
                <w:rFonts w:eastAsia="宋体"/>
                <w:b/>
                <w:bCs/>
                <w:szCs w:val="24"/>
              </w:rPr>
            </w:pPr>
            <w:r>
              <w:t>表</w:t>
            </w:r>
            <w:r>
              <w:rPr>
                <w:rFonts w:hint="eastAsia"/>
              </w:rPr>
              <w:t>1</w:t>
            </w:r>
            <w:r>
              <w:rPr>
                <w:rFonts w:hint="eastAsia"/>
                <w:lang w:val="en-US" w:eastAsia="zh-CN"/>
              </w:rPr>
              <w:t>5</w:t>
            </w:r>
            <w:r>
              <w:rPr>
                <w:rFonts w:hint="eastAsia"/>
              </w:rPr>
              <w:t xml:space="preserve">          废气无组织排放检测结果（</w:t>
            </w:r>
            <w:r>
              <w:rPr>
                <w:rFonts w:hint="eastAsia"/>
                <w:lang w:eastAsia="zh-Hans"/>
              </w:rPr>
              <w:t>二</w:t>
            </w:r>
            <w:r>
              <w:rPr>
                <w:rFonts w:hint="eastAsia"/>
              </w:rPr>
              <w:t xml:space="preserve">）              </w:t>
            </w:r>
            <w:r>
              <w:t>单位：mg/L</w:t>
            </w:r>
            <w:r>
              <w:rPr>
                <w:rFonts w:hint="eastAsia"/>
                <w:b/>
                <w:bCs/>
                <w:szCs w:val="24"/>
              </w:rPr>
              <w:t xml:space="preserve"> </w:t>
            </w:r>
          </w:p>
          <w:tbl>
            <w:tblPr>
              <w:tblStyle w:val="15"/>
              <w:tblW w:w="4991"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378"/>
              <w:gridCol w:w="1690"/>
              <w:gridCol w:w="3784"/>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67" w:type="pct"/>
                  <w:vAlign w:val="center"/>
                </w:tcPr>
                <w:p>
                  <w:pPr>
                    <w:adjustRightInd/>
                    <w:spacing w:line="240" w:lineRule="auto"/>
                    <w:ind w:left="-120" w:leftChars="-50" w:right="-120" w:rightChars="-50"/>
                    <w:jc w:val="center"/>
                    <w:rPr>
                      <w:b/>
                      <w:bCs/>
                      <w:sz w:val="21"/>
                      <w:szCs w:val="21"/>
                    </w:rPr>
                  </w:pPr>
                  <w:r>
                    <w:rPr>
                      <w:b/>
                      <w:bCs/>
                      <w:sz w:val="21"/>
                      <w:szCs w:val="21"/>
                    </w:rPr>
                    <w:t>采样地点</w:t>
                  </w:r>
                </w:p>
              </w:tc>
              <w:tc>
                <w:tcPr>
                  <w:tcW w:w="1850" w:type="pct"/>
                  <w:gridSpan w:val="2"/>
                  <w:tcBorders>
                    <w:tl2br w:val="single" w:color="auto" w:sz="4" w:space="0"/>
                  </w:tcBorders>
                </w:tcPr>
                <w:p>
                  <w:pPr>
                    <w:adjustRightInd/>
                    <w:spacing w:line="240" w:lineRule="auto"/>
                    <w:ind w:left="-120" w:leftChars="-50" w:right="-120" w:rightChars="-50"/>
                    <w:jc w:val="both"/>
                    <w:rPr>
                      <w:b/>
                      <w:bCs/>
                      <w:sz w:val="21"/>
                      <w:szCs w:val="21"/>
                    </w:rPr>
                  </w:pPr>
                  <w:r>
                    <w:rPr>
                      <w:b/>
                      <w:bCs/>
                      <w:sz w:val="21"/>
                      <w:szCs w:val="21"/>
                    </w:rPr>
                    <w:t xml:space="preserve">   </w:t>
                  </w:r>
                  <w:r>
                    <w:rPr>
                      <w:rFonts w:hint="eastAsia"/>
                      <w:b/>
                      <w:bCs/>
                      <w:sz w:val="21"/>
                      <w:szCs w:val="21"/>
                    </w:rPr>
                    <w:t xml:space="preserve">                  检测因子</w:t>
                  </w:r>
                </w:p>
                <w:p>
                  <w:pPr>
                    <w:adjustRightInd/>
                    <w:spacing w:line="240" w:lineRule="auto"/>
                    <w:ind w:right="-120" w:rightChars="-50"/>
                    <w:jc w:val="both"/>
                    <w:rPr>
                      <w:b/>
                      <w:bCs/>
                      <w:sz w:val="21"/>
                      <w:szCs w:val="21"/>
                    </w:rPr>
                  </w:pPr>
                  <w:r>
                    <w:rPr>
                      <w:rFonts w:hint="eastAsia"/>
                      <w:b/>
                      <w:bCs/>
                      <w:sz w:val="21"/>
                      <w:szCs w:val="21"/>
                    </w:rPr>
                    <w:t>检测时间</w:t>
                  </w:r>
                </w:p>
              </w:tc>
              <w:tc>
                <w:tcPr>
                  <w:tcW w:w="2282" w:type="pct"/>
                  <w:vAlign w:val="center"/>
                </w:tcPr>
                <w:p>
                  <w:pPr>
                    <w:adjustRightInd/>
                    <w:snapToGrid/>
                    <w:spacing w:line="240" w:lineRule="auto"/>
                    <w:ind w:left="-120" w:leftChars="-50" w:right="-120" w:rightChars="-50"/>
                    <w:jc w:val="center"/>
                    <w:rPr>
                      <w:b/>
                      <w:bCs/>
                      <w:sz w:val="21"/>
                      <w:szCs w:val="21"/>
                    </w:rPr>
                  </w:pPr>
                  <w:r>
                    <w:rPr>
                      <w:b/>
                      <w:bCs/>
                      <w:sz w:val="21"/>
                      <w:szCs w:val="21"/>
                    </w:rPr>
                    <w:t>非甲烷总烃（mg/m</w:t>
                  </w:r>
                  <w:r>
                    <w:rPr>
                      <w:b/>
                      <w:bCs/>
                      <w:sz w:val="21"/>
                      <w:szCs w:val="21"/>
                      <w:vertAlign w:val="superscript"/>
                    </w:rPr>
                    <w:t>3</w:t>
                  </w:r>
                  <w:r>
                    <w:rPr>
                      <w:b/>
                      <w:bCs/>
                      <w:sz w:val="21"/>
                      <w:szCs w:val="21"/>
                    </w:rPr>
                    <w:t>）</w:t>
                  </w:r>
                  <w:r>
                    <w:rPr>
                      <w:rFonts w:hint="eastAsia"/>
                      <w:b/>
                      <w:bCs/>
                      <w:sz w:val="21"/>
                      <w:szCs w:val="21"/>
                    </w:rPr>
                    <w:t>（以碳计）</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restart"/>
                  <w:vAlign w:val="center"/>
                </w:tcPr>
                <w:p>
                  <w:pPr>
                    <w:adjustRightInd/>
                    <w:spacing w:line="240" w:lineRule="auto"/>
                    <w:ind w:left="-120" w:leftChars="-50" w:right="-120" w:rightChars="-50"/>
                    <w:jc w:val="center"/>
                    <w:rPr>
                      <w:b/>
                      <w:bCs/>
                      <w:sz w:val="21"/>
                      <w:szCs w:val="21"/>
                    </w:rPr>
                  </w:pPr>
                  <w:r>
                    <w:rPr>
                      <w:b/>
                      <w:bCs/>
                      <w:sz w:val="21"/>
                      <w:szCs w:val="21"/>
                    </w:rPr>
                    <w:t>油气回收口</w:t>
                  </w:r>
                </w:p>
              </w:tc>
              <w:tc>
                <w:tcPr>
                  <w:tcW w:w="1378" w:type="dxa"/>
                  <w:vMerge w:val="restart"/>
                  <w:vAlign w:val="center"/>
                </w:tcPr>
                <w:p>
                  <w:pPr>
                    <w:spacing w:line="240" w:lineRule="auto"/>
                    <w:jc w:val="center"/>
                    <w:rPr>
                      <w:b/>
                      <w:bCs/>
                      <w:sz w:val="21"/>
                      <w:szCs w:val="21"/>
                    </w:rPr>
                  </w:pP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2.08.08</w:t>
                  </w:r>
                </w:p>
              </w:tc>
              <w:tc>
                <w:tcPr>
                  <w:tcW w:w="1690" w:type="dxa"/>
                  <w:vAlign w:val="center"/>
                </w:tcPr>
                <w:p>
                  <w:pPr>
                    <w:spacing w:line="240" w:lineRule="auto"/>
                    <w:jc w:val="center"/>
                    <w:rPr>
                      <w:b/>
                      <w:bCs/>
                      <w:sz w:val="21"/>
                      <w:szCs w:val="21"/>
                    </w:rPr>
                  </w:pPr>
                  <w:r>
                    <w:rPr>
                      <w:rFonts w:hint="default" w:ascii="Times New Roman" w:hAnsi="Times New Roman" w:eastAsia="宋体" w:cs="Times New Roman"/>
                      <w:sz w:val="21"/>
                      <w:szCs w:val="21"/>
                    </w:rPr>
                    <w:t>08:00</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8.96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left="-144" w:leftChars="-60" w:right="-144" w:rightChars="-60"/>
                    <w:jc w:val="center"/>
                    <w:textAlignment w:val="auto"/>
                    <w:rPr>
                      <w:b/>
                      <w:bCs/>
                      <w:sz w:val="21"/>
                      <w:szCs w:val="21"/>
                    </w:rPr>
                  </w:pPr>
                </w:p>
              </w:tc>
              <w:tc>
                <w:tcPr>
                  <w:tcW w:w="1690" w:type="dxa"/>
                  <w:vAlign w:val="center"/>
                </w:tcPr>
                <w:p>
                  <w:pPr>
                    <w:spacing w:line="240" w:lineRule="auto"/>
                    <w:jc w:val="center"/>
                    <w:rPr>
                      <w:b/>
                      <w:bCs/>
                      <w:sz w:val="21"/>
                      <w:szCs w:val="21"/>
                    </w:rPr>
                  </w:pPr>
                  <w:r>
                    <w:rPr>
                      <w:rFonts w:hint="default" w:ascii="Times New Roman" w:hAnsi="Times New Roman" w:eastAsia="宋体" w:cs="Times New Roman"/>
                      <w:sz w:val="21"/>
                      <w:szCs w:val="21"/>
                    </w:rPr>
                    <w:t>11:00</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9.12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left="-144" w:leftChars="-60" w:right="-144" w:rightChars="-60"/>
                    <w:jc w:val="center"/>
                    <w:textAlignment w:val="auto"/>
                    <w:rPr>
                      <w:b/>
                      <w:bCs/>
                      <w:sz w:val="21"/>
                      <w:szCs w:val="21"/>
                    </w:rPr>
                  </w:pPr>
                </w:p>
              </w:tc>
              <w:tc>
                <w:tcPr>
                  <w:tcW w:w="1690" w:type="dxa"/>
                  <w:vAlign w:val="center"/>
                </w:tcPr>
                <w:p>
                  <w:pPr>
                    <w:spacing w:line="240" w:lineRule="auto"/>
                    <w:jc w:val="center"/>
                    <w:rPr>
                      <w:b/>
                      <w:bCs/>
                      <w:sz w:val="21"/>
                      <w:szCs w:val="21"/>
                    </w:rPr>
                  </w:pPr>
                  <w:r>
                    <w:rPr>
                      <w:rFonts w:hint="default" w:ascii="Times New Roman" w:hAnsi="Times New Roman" w:eastAsia="宋体" w:cs="Times New Roman"/>
                      <w:sz w:val="21"/>
                      <w:szCs w:val="21"/>
                    </w:rPr>
                    <w:t>14:00</w:t>
                  </w:r>
                  <w:r>
                    <w:rPr>
                      <w:rFonts w:hint="default" w:ascii="Times New Roman" w:hAnsi="Times New Roman" w:eastAsia="宋体" w:cs="Times New Roman"/>
                      <w:color w:val="auto"/>
                      <w:sz w:val="21"/>
                      <w:szCs w:val="21"/>
                      <w:lang w:val="en-US" w:eastAsia="zh-CN"/>
                    </w:rPr>
                    <w:t xml:space="preserve"> </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9.34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left="-144" w:leftChars="-60" w:right="-144" w:rightChars="-60"/>
                    <w:jc w:val="center"/>
                    <w:textAlignment w:val="auto"/>
                    <w:rPr>
                      <w:b/>
                      <w:bCs/>
                      <w:sz w:val="21"/>
                      <w:szCs w:val="21"/>
                    </w:rPr>
                  </w:pPr>
                </w:p>
              </w:tc>
              <w:tc>
                <w:tcPr>
                  <w:tcW w:w="1690" w:type="dxa"/>
                  <w:vAlign w:val="center"/>
                </w:tcPr>
                <w:p>
                  <w:pPr>
                    <w:spacing w:line="240" w:lineRule="auto"/>
                    <w:jc w:val="center"/>
                    <w:rPr>
                      <w:sz w:val="21"/>
                      <w:szCs w:val="21"/>
                    </w:rPr>
                  </w:pPr>
                  <w:r>
                    <w:rPr>
                      <w:rFonts w:hint="default" w:ascii="Times New Roman" w:hAnsi="Times New Roman" w:eastAsia="宋体" w:cs="Times New Roman"/>
                      <w:color w:val="auto"/>
                      <w:sz w:val="21"/>
                      <w:szCs w:val="21"/>
                      <w:lang w:val="en-US" w:eastAsia="zh-CN"/>
                    </w:rPr>
                    <w:t>17:00</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9.02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restart"/>
                  <w:vAlign w:val="center"/>
                </w:tcPr>
                <w:p>
                  <w:pPr>
                    <w:widowControl/>
                    <w:spacing w:line="240" w:lineRule="auto"/>
                    <w:jc w:val="center"/>
                    <w:textAlignment w:val="center"/>
                    <w:rPr>
                      <w:sz w:val="21"/>
                      <w:szCs w:val="21"/>
                    </w:rPr>
                  </w:pPr>
                  <w:r>
                    <w:rPr>
                      <w:rFonts w:hint="eastAsia" w:ascii="Times New Roman" w:hAnsi="Times New Roman" w:eastAsia="宋体" w:cs="Times New Roman"/>
                      <w:color w:val="auto"/>
                      <w:kern w:val="0"/>
                      <w:sz w:val="21"/>
                      <w:szCs w:val="21"/>
                      <w:highlight w:val="none"/>
                      <w:lang w:val="en-US" w:eastAsia="zh-CN" w:bidi="ar"/>
                    </w:rPr>
                    <w:t>2022.08.09</w:t>
                  </w:r>
                </w:p>
              </w:tc>
              <w:tc>
                <w:tcPr>
                  <w:tcW w:w="1690" w:type="dxa"/>
                  <w:vAlign w:val="center"/>
                </w:tcPr>
                <w:p>
                  <w:pPr>
                    <w:spacing w:line="240" w:lineRule="auto"/>
                    <w:jc w:val="center"/>
                    <w:rPr>
                      <w:sz w:val="21"/>
                      <w:szCs w:val="21"/>
                    </w:rPr>
                  </w:pPr>
                  <w:r>
                    <w:rPr>
                      <w:rFonts w:hint="default" w:ascii="Times New Roman" w:hAnsi="Times New Roman" w:eastAsia="宋体" w:cs="Times New Roman"/>
                      <w:sz w:val="21"/>
                      <w:szCs w:val="21"/>
                    </w:rPr>
                    <w:t>08:00</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8.75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left="-144" w:leftChars="-60" w:right="-144" w:rightChars="-60"/>
                    <w:jc w:val="center"/>
                    <w:textAlignment w:val="auto"/>
                    <w:rPr>
                      <w:sz w:val="21"/>
                      <w:szCs w:val="21"/>
                    </w:rPr>
                  </w:pPr>
                </w:p>
              </w:tc>
              <w:tc>
                <w:tcPr>
                  <w:tcW w:w="1690" w:type="dxa"/>
                  <w:vAlign w:val="center"/>
                </w:tcPr>
                <w:p>
                  <w:pPr>
                    <w:spacing w:line="240" w:lineRule="auto"/>
                    <w:jc w:val="center"/>
                    <w:rPr>
                      <w:sz w:val="21"/>
                      <w:szCs w:val="21"/>
                    </w:rPr>
                  </w:pPr>
                  <w:r>
                    <w:rPr>
                      <w:rFonts w:hint="default" w:ascii="Times New Roman" w:hAnsi="Times New Roman" w:eastAsia="宋体" w:cs="Times New Roman"/>
                      <w:sz w:val="21"/>
                      <w:szCs w:val="21"/>
                    </w:rPr>
                    <w:t>11:00</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9.64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left="-144" w:leftChars="-60" w:right="-144" w:rightChars="-60"/>
                    <w:jc w:val="center"/>
                    <w:textAlignment w:val="auto"/>
                    <w:rPr>
                      <w:sz w:val="21"/>
                      <w:szCs w:val="21"/>
                    </w:rPr>
                  </w:pPr>
                </w:p>
              </w:tc>
              <w:tc>
                <w:tcPr>
                  <w:tcW w:w="1690" w:type="dxa"/>
                  <w:vAlign w:val="center"/>
                </w:tcPr>
                <w:p>
                  <w:pPr>
                    <w:spacing w:line="240" w:lineRule="auto"/>
                    <w:jc w:val="center"/>
                    <w:rPr>
                      <w:sz w:val="21"/>
                      <w:szCs w:val="21"/>
                    </w:rPr>
                  </w:pPr>
                  <w:r>
                    <w:rPr>
                      <w:rFonts w:hint="default" w:ascii="Times New Roman" w:hAnsi="Times New Roman" w:eastAsia="宋体" w:cs="Times New Roman"/>
                      <w:sz w:val="21"/>
                      <w:szCs w:val="21"/>
                    </w:rPr>
                    <w:t>14:00</w:t>
                  </w:r>
                  <w:r>
                    <w:rPr>
                      <w:rFonts w:hint="default" w:ascii="Times New Roman" w:hAnsi="Times New Roman" w:eastAsia="宋体" w:cs="Times New Roman"/>
                      <w:color w:val="auto"/>
                      <w:sz w:val="21"/>
                      <w:szCs w:val="21"/>
                      <w:lang w:val="en-US" w:eastAsia="zh-CN"/>
                    </w:rPr>
                    <w:t xml:space="preserve"> </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8.90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67" w:type="pct"/>
                  <w:vMerge w:val="continue"/>
                  <w:vAlign w:val="center"/>
                </w:tcPr>
                <w:p>
                  <w:pPr>
                    <w:adjustRightInd/>
                    <w:spacing w:line="240" w:lineRule="auto"/>
                    <w:ind w:left="-120" w:leftChars="-50" w:right="-120" w:rightChars="-50"/>
                    <w:jc w:val="center"/>
                    <w:rPr>
                      <w:b/>
                      <w:bCs/>
                      <w:sz w:val="21"/>
                      <w:szCs w:val="21"/>
                    </w:rPr>
                  </w:pPr>
                </w:p>
              </w:tc>
              <w:tc>
                <w:tcPr>
                  <w:tcW w:w="1378"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left="-144" w:leftChars="-60" w:right="-144" w:rightChars="-60"/>
                    <w:jc w:val="center"/>
                    <w:textAlignment w:val="auto"/>
                    <w:rPr>
                      <w:sz w:val="21"/>
                      <w:szCs w:val="21"/>
                    </w:rPr>
                  </w:pPr>
                </w:p>
              </w:tc>
              <w:tc>
                <w:tcPr>
                  <w:tcW w:w="1690" w:type="dxa"/>
                  <w:vAlign w:val="center"/>
                </w:tcPr>
                <w:p>
                  <w:pPr>
                    <w:spacing w:line="240" w:lineRule="auto"/>
                    <w:jc w:val="center"/>
                    <w:rPr>
                      <w:sz w:val="21"/>
                      <w:szCs w:val="21"/>
                    </w:rPr>
                  </w:pPr>
                  <w:r>
                    <w:rPr>
                      <w:rFonts w:hint="default" w:ascii="Times New Roman" w:hAnsi="Times New Roman" w:eastAsia="宋体" w:cs="Times New Roman"/>
                      <w:color w:val="auto"/>
                      <w:sz w:val="21"/>
                      <w:szCs w:val="21"/>
                      <w:lang w:val="en-US" w:eastAsia="zh-CN"/>
                    </w:rPr>
                    <w:t>17:00</w:t>
                  </w:r>
                </w:p>
              </w:tc>
              <w:tc>
                <w:tcPr>
                  <w:tcW w:w="3784" w:type="dxa"/>
                  <w:vAlign w:val="center"/>
                </w:tcPr>
                <w:p>
                  <w:pPr>
                    <w:keepNext w:val="0"/>
                    <w:keepLines w:val="0"/>
                    <w:widowControl/>
                    <w:suppressLineNumbers w:val="0"/>
                    <w:spacing w:line="240" w:lineRule="auto"/>
                    <w:jc w:val="center"/>
                    <w:textAlignment w:val="center"/>
                    <w:rPr>
                      <w:sz w:val="21"/>
                      <w:szCs w:val="21"/>
                    </w:rPr>
                  </w:pPr>
                  <w:r>
                    <w:rPr>
                      <w:rFonts w:hint="eastAsia" w:ascii="Times New Roman" w:hAnsi="Times New Roman" w:eastAsia="宋体" w:cs="Times New Roman"/>
                      <w:i w:val="0"/>
                      <w:iCs w:val="0"/>
                      <w:color w:val="000000"/>
                      <w:kern w:val="0"/>
                      <w:sz w:val="21"/>
                      <w:szCs w:val="21"/>
                      <w:u w:val="none"/>
                      <w:lang w:val="en-US" w:eastAsia="zh-CN" w:bidi="ar"/>
                    </w:rPr>
                    <w:t>9.23</w:t>
                  </w:r>
                </w:p>
              </w:tc>
            </w:tr>
          </w:tbl>
          <w:p>
            <w:pPr>
              <w:ind w:firstLine="480" w:firstLineChars="200"/>
              <w:textAlignment w:val="baseline"/>
              <w:rPr>
                <w:rFonts w:ascii="宋体" w:hAnsi="宋体"/>
                <w:b/>
                <w:szCs w:val="24"/>
              </w:rPr>
            </w:pPr>
            <w:r>
              <w:rPr>
                <w:rFonts w:hint="eastAsia"/>
                <w:color w:val="000000"/>
                <w:szCs w:val="24"/>
                <w:lang w:eastAsia="zh-Hans"/>
              </w:rPr>
              <w:t>根据检测结果，油气回收口非甲烷总烃排放浓度为</w:t>
            </w:r>
            <w:r>
              <w:rPr>
                <w:color w:val="000000"/>
                <w:szCs w:val="24"/>
                <w:lang w:eastAsia="zh-Hans"/>
              </w:rPr>
              <w:t>8.</w:t>
            </w:r>
            <w:r>
              <w:rPr>
                <w:rFonts w:hint="eastAsia"/>
                <w:color w:val="000000"/>
                <w:szCs w:val="24"/>
                <w:lang w:val="en-US" w:eastAsia="zh-CN"/>
              </w:rPr>
              <w:t>75</w:t>
            </w:r>
            <w:r>
              <w:rPr>
                <w:color w:val="000000"/>
                <w:szCs w:val="24"/>
                <w:lang w:eastAsia="zh-Hans"/>
              </w:rPr>
              <w:t>-</w:t>
            </w:r>
            <w:r>
              <w:rPr>
                <w:rFonts w:hint="eastAsia"/>
                <w:color w:val="000000"/>
                <w:szCs w:val="24"/>
                <w:lang w:val="en-US" w:eastAsia="zh-CN"/>
              </w:rPr>
              <w:t>9.64</w:t>
            </w:r>
            <w:r>
              <w:rPr>
                <w:rFonts w:hint="eastAsia"/>
                <w:color w:val="000000"/>
                <w:szCs w:val="24"/>
                <w:lang w:eastAsia="zh-Hans"/>
              </w:rPr>
              <w:t>mg/m</w:t>
            </w:r>
            <w:r>
              <w:rPr>
                <w:rFonts w:hint="eastAsia"/>
                <w:color w:val="000000"/>
                <w:szCs w:val="24"/>
                <w:vertAlign w:val="superscript"/>
                <w:lang w:eastAsia="zh-Hans"/>
              </w:rPr>
              <w:t>3</w:t>
            </w:r>
            <w:r>
              <w:rPr>
                <w:rFonts w:hint="eastAsia"/>
                <w:color w:val="000000"/>
                <w:szCs w:val="24"/>
                <w:lang w:eastAsia="zh-Hans"/>
              </w:rPr>
              <w:t>，可以满足</w:t>
            </w:r>
            <w:r>
              <w:rPr>
                <w:szCs w:val="24"/>
              </w:rPr>
              <w:t>《加油站大气污染物排放标准》(GB20952-2007)油气排放浓度</w:t>
            </w:r>
            <w:r>
              <w:rPr>
                <w:rFonts w:hint="eastAsia"/>
                <w:szCs w:val="24"/>
              </w:rPr>
              <w:t>≦</w:t>
            </w:r>
            <w:r>
              <w:rPr>
                <w:szCs w:val="24"/>
              </w:rPr>
              <w:t>25g/m</w:t>
            </w:r>
            <w:r>
              <w:rPr>
                <w:szCs w:val="24"/>
                <w:vertAlign w:val="superscript"/>
              </w:rPr>
              <w:t>3</w:t>
            </w:r>
            <w:r>
              <w:rPr>
                <w:rFonts w:hint="eastAsia"/>
                <w:szCs w:val="24"/>
                <w:lang w:eastAsia="zh-Hans"/>
              </w:rPr>
              <w:t>排放要求。根据现场测量，油气回收排放口距地面高度为</w:t>
            </w:r>
            <w:r>
              <w:rPr>
                <w:szCs w:val="24"/>
                <w:lang w:eastAsia="zh-Hans"/>
              </w:rPr>
              <w:t>5</w:t>
            </w:r>
            <w:r>
              <w:rPr>
                <w:rFonts w:hint="eastAsia"/>
                <w:szCs w:val="24"/>
                <w:lang w:eastAsia="zh-Hans"/>
              </w:rPr>
              <w:t>m，满足不低于</w:t>
            </w:r>
            <w:r>
              <w:rPr>
                <w:szCs w:val="24"/>
                <w:lang w:eastAsia="zh-Hans"/>
              </w:rPr>
              <w:t>4</w:t>
            </w:r>
            <w:r>
              <w:rPr>
                <w:rFonts w:hint="eastAsia"/>
                <w:szCs w:val="24"/>
                <w:lang w:eastAsia="zh-Hans"/>
              </w:rPr>
              <w:t>m的高度要求。</w:t>
            </w:r>
          </w:p>
          <w:p>
            <w:pPr>
              <w:spacing w:line="520" w:lineRule="exact"/>
              <w:ind w:firstLine="241" w:firstLineChars="100"/>
              <w:rPr>
                <w:b/>
                <w:bCs/>
                <w:szCs w:val="24"/>
              </w:rPr>
            </w:pPr>
            <w:r>
              <w:rPr>
                <w:rFonts w:hint="eastAsia" w:ascii="宋体" w:hAnsi="宋体"/>
                <w:b/>
                <w:bCs/>
                <w:szCs w:val="24"/>
              </w:rPr>
              <w:t>（</w:t>
            </w:r>
            <w:r>
              <w:rPr>
                <w:rFonts w:ascii="宋体" w:hAnsi="宋体"/>
                <w:b/>
                <w:bCs/>
                <w:szCs w:val="24"/>
              </w:rPr>
              <w:t>2</w:t>
            </w:r>
            <w:r>
              <w:rPr>
                <w:rFonts w:hint="eastAsia" w:ascii="宋体" w:hAnsi="宋体"/>
                <w:b/>
                <w:bCs/>
                <w:szCs w:val="24"/>
              </w:rPr>
              <w:t>）</w:t>
            </w:r>
            <w:r>
              <w:rPr>
                <w:rFonts w:ascii="宋体" w:hAnsi="宋体"/>
                <w:b/>
                <w:bCs/>
                <w:szCs w:val="24"/>
              </w:rPr>
              <w:t>噪声</w:t>
            </w:r>
          </w:p>
          <w:p>
            <w:pPr>
              <w:ind w:firstLine="480"/>
              <w:textAlignment w:val="baseline"/>
              <w:rPr>
                <w:szCs w:val="24"/>
              </w:rPr>
            </w:pPr>
            <w:r>
              <w:rPr>
                <w:rFonts w:ascii="宋体" w:hAnsi="宋体"/>
                <w:szCs w:val="24"/>
              </w:rPr>
              <w:t>项目噪声监测结果见下表。</w:t>
            </w:r>
          </w:p>
          <w:p>
            <w:pPr>
              <w:pStyle w:val="32"/>
              <w:ind w:firstLine="480"/>
            </w:pPr>
            <w:r>
              <w:t>表1</w:t>
            </w:r>
            <w:r>
              <w:rPr>
                <w:rFonts w:hint="eastAsia"/>
                <w:lang w:val="en-US" w:eastAsia="zh-CN"/>
              </w:rPr>
              <w:t>6</w:t>
            </w:r>
            <w:r>
              <w:rPr>
                <w:rFonts w:hint="eastAsia"/>
              </w:rPr>
              <w:t xml:space="preserve">                </w:t>
            </w:r>
            <w:r>
              <w:t>噪声检测结果</w:t>
            </w:r>
            <w:r>
              <w:rPr>
                <w:rFonts w:hint="eastAsia"/>
              </w:rPr>
              <w:t xml:space="preserve">                   </w:t>
            </w:r>
            <w:r>
              <w:t>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2156"/>
              <w:gridCol w:w="908"/>
              <w:gridCol w:w="909"/>
              <w:gridCol w:w="960"/>
              <w:gridCol w:w="9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0" w:type="dxa"/>
                  <w:vMerge w:val="restart"/>
                  <w:tcBorders>
                    <w:tl2br w:val="nil"/>
                    <w:tr2bl w:val="nil"/>
                  </w:tcBorders>
                  <w:vAlign w:val="center"/>
                </w:tcPr>
                <w:p>
                  <w:pPr>
                    <w:pStyle w:val="35"/>
                    <w:rPr>
                      <w:b/>
                      <w:bCs/>
                    </w:rPr>
                  </w:pPr>
                  <w:r>
                    <w:rPr>
                      <w:rFonts w:hint="eastAsia"/>
                      <w:b/>
                      <w:bCs/>
                    </w:rPr>
                    <w:t>采样时间</w:t>
                  </w:r>
                </w:p>
              </w:tc>
              <w:tc>
                <w:tcPr>
                  <w:tcW w:w="2127" w:type="dxa"/>
                  <w:vMerge w:val="restart"/>
                  <w:tcBorders>
                    <w:tl2br w:val="nil"/>
                    <w:tr2bl w:val="nil"/>
                  </w:tcBorders>
                  <w:vAlign w:val="center"/>
                </w:tcPr>
                <w:p>
                  <w:pPr>
                    <w:pStyle w:val="35"/>
                    <w:rPr>
                      <w:b/>
                      <w:bCs/>
                    </w:rPr>
                  </w:pPr>
                  <w:r>
                    <w:rPr>
                      <w:rFonts w:hint="eastAsia"/>
                      <w:b/>
                      <w:bCs/>
                    </w:rPr>
                    <w:t>采样时段</w:t>
                  </w:r>
                </w:p>
              </w:tc>
              <w:tc>
                <w:tcPr>
                  <w:tcW w:w="3688" w:type="dxa"/>
                  <w:gridSpan w:val="4"/>
                  <w:tcBorders>
                    <w:tl2br w:val="nil"/>
                    <w:tr2bl w:val="nil"/>
                  </w:tcBorders>
                  <w:vAlign w:val="center"/>
                </w:tcPr>
                <w:p>
                  <w:pPr>
                    <w:pStyle w:val="35"/>
                    <w:rPr>
                      <w:b/>
                      <w:bCs/>
                    </w:rPr>
                  </w:pPr>
                  <w:r>
                    <w:rPr>
                      <w:rFonts w:hint="eastAsia"/>
                      <w:b/>
                      <w:bCs/>
                    </w:rPr>
                    <w:t>监测</w:t>
                  </w:r>
                  <w:r>
                    <w:rPr>
                      <w:b/>
                      <w:bCs/>
                    </w:rPr>
                    <w:t>结果Leq[dB</w:t>
                  </w:r>
                  <w:r>
                    <w:rPr>
                      <w:rFonts w:hint="eastAsia"/>
                      <w:b/>
                      <w:bCs/>
                    </w:rPr>
                    <w:t>(</w:t>
                  </w:r>
                  <w:r>
                    <w:rPr>
                      <w:b/>
                      <w:bCs/>
                    </w:rPr>
                    <w:t>A</w:t>
                  </w:r>
                  <w:r>
                    <w:rPr>
                      <w:rFonts w:hint="eastAsia"/>
                      <w:b/>
                      <w:bCs/>
                    </w:rPr>
                    <w:t>)</w:t>
                  </w:r>
                  <w:r>
                    <w:rPr>
                      <w:b/>
                      <w:bCs/>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0" w:type="dxa"/>
                  <w:vMerge w:val="continue"/>
                  <w:tcBorders>
                    <w:tl2br w:val="nil"/>
                    <w:tr2bl w:val="nil"/>
                  </w:tcBorders>
                  <w:vAlign w:val="center"/>
                </w:tcPr>
                <w:p>
                  <w:pPr>
                    <w:pStyle w:val="35"/>
                  </w:pPr>
                </w:p>
              </w:tc>
              <w:tc>
                <w:tcPr>
                  <w:tcW w:w="2127" w:type="dxa"/>
                  <w:vMerge w:val="continue"/>
                  <w:tcBorders>
                    <w:tl2br w:val="nil"/>
                    <w:tr2bl w:val="nil"/>
                  </w:tcBorders>
                  <w:vAlign w:val="center"/>
                </w:tcPr>
                <w:p>
                  <w:pPr>
                    <w:pStyle w:val="35"/>
                  </w:pPr>
                </w:p>
              </w:tc>
              <w:tc>
                <w:tcPr>
                  <w:tcW w:w="896" w:type="dxa"/>
                  <w:tcBorders>
                    <w:tl2br w:val="nil"/>
                    <w:tr2bl w:val="nil"/>
                  </w:tcBorders>
                  <w:vAlign w:val="center"/>
                </w:tcPr>
                <w:p>
                  <w:pPr>
                    <w:pStyle w:val="35"/>
                  </w:pPr>
                  <w:r>
                    <w:rPr>
                      <w:rFonts w:hint="eastAsia"/>
                    </w:rPr>
                    <w:t>东厂界</w:t>
                  </w:r>
                </w:p>
              </w:tc>
              <w:tc>
                <w:tcPr>
                  <w:tcW w:w="897" w:type="dxa"/>
                  <w:tcBorders>
                    <w:tl2br w:val="nil"/>
                    <w:tr2bl w:val="nil"/>
                  </w:tcBorders>
                  <w:vAlign w:val="center"/>
                </w:tcPr>
                <w:p>
                  <w:pPr>
                    <w:pStyle w:val="35"/>
                  </w:pPr>
                  <w:r>
                    <w:rPr>
                      <w:rFonts w:hint="eastAsia"/>
                    </w:rPr>
                    <w:t>南厂界</w:t>
                  </w:r>
                </w:p>
              </w:tc>
              <w:tc>
                <w:tcPr>
                  <w:tcW w:w="947" w:type="dxa"/>
                  <w:tcBorders>
                    <w:tl2br w:val="nil"/>
                    <w:tr2bl w:val="nil"/>
                  </w:tcBorders>
                  <w:vAlign w:val="center"/>
                </w:tcPr>
                <w:p>
                  <w:pPr>
                    <w:pStyle w:val="35"/>
                  </w:pPr>
                  <w:r>
                    <w:rPr>
                      <w:rFonts w:hint="eastAsia"/>
                    </w:rPr>
                    <w:t>西厂界</w:t>
                  </w:r>
                </w:p>
              </w:tc>
              <w:tc>
                <w:tcPr>
                  <w:tcW w:w="948" w:type="dxa"/>
                  <w:tcBorders>
                    <w:tl2br w:val="nil"/>
                    <w:tr2bl w:val="nil"/>
                  </w:tcBorders>
                  <w:vAlign w:val="center"/>
                </w:tcPr>
                <w:p>
                  <w:pPr>
                    <w:pStyle w:val="35"/>
                  </w:pPr>
                  <w:r>
                    <w:rPr>
                      <w:rFonts w:hint="eastAsia"/>
                    </w:rPr>
                    <w:t>北厂界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0" w:type="dxa"/>
                  <w:tcBorders>
                    <w:tl2br w:val="nil"/>
                    <w:tr2bl w:val="nil"/>
                  </w:tcBorders>
                  <w:vAlign w:val="center"/>
                </w:tcPr>
                <w:p>
                  <w:pPr>
                    <w:jc w:val="center"/>
                  </w:pP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2.08.08</w:t>
                  </w:r>
                </w:p>
              </w:tc>
              <w:tc>
                <w:tcPr>
                  <w:tcW w:w="2127" w:type="dxa"/>
                  <w:tcBorders>
                    <w:tl2br w:val="nil"/>
                    <w:tr2bl w:val="nil"/>
                  </w:tcBorders>
                  <w:vAlign w:val="center"/>
                </w:tcPr>
                <w:p>
                  <w:pPr>
                    <w:jc w:val="center"/>
                    <w:textAlignment w:val="center"/>
                  </w:pPr>
                  <w:r>
                    <w:rPr>
                      <w:sz w:val="21"/>
                      <w:szCs w:val="21"/>
                      <w:lang w:bidi="ar"/>
                    </w:rPr>
                    <w:t>昼间</w:t>
                  </w:r>
                </w:p>
              </w:tc>
              <w:tc>
                <w:tcPr>
                  <w:tcW w:w="896"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52</w:t>
                  </w:r>
                </w:p>
              </w:tc>
              <w:tc>
                <w:tcPr>
                  <w:tcW w:w="897"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51</w:t>
                  </w:r>
                </w:p>
              </w:tc>
              <w:tc>
                <w:tcPr>
                  <w:tcW w:w="947"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53</w:t>
                  </w:r>
                </w:p>
              </w:tc>
              <w:tc>
                <w:tcPr>
                  <w:tcW w:w="948"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0" w:type="dxa"/>
                  <w:tcBorders>
                    <w:tl2br w:val="nil"/>
                    <w:tr2bl w:val="nil"/>
                  </w:tcBorders>
                  <w:vAlign w:val="center"/>
                </w:tcPr>
                <w:p>
                  <w:pPr>
                    <w:widowControl/>
                    <w:jc w:val="center"/>
                    <w:textAlignment w:val="center"/>
                  </w:pPr>
                  <w:r>
                    <w:rPr>
                      <w:rFonts w:hint="eastAsia" w:ascii="Times New Roman" w:hAnsi="Times New Roman" w:eastAsia="宋体" w:cs="Times New Roman"/>
                      <w:color w:val="auto"/>
                      <w:kern w:val="0"/>
                      <w:sz w:val="21"/>
                      <w:szCs w:val="21"/>
                      <w:highlight w:val="none"/>
                      <w:lang w:val="en-US" w:eastAsia="zh-CN" w:bidi="ar"/>
                    </w:rPr>
                    <w:t>2022.08.09</w:t>
                  </w:r>
                </w:p>
              </w:tc>
              <w:tc>
                <w:tcPr>
                  <w:tcW w:w="2127" w:type="dxa"/>
                  <w:tcBorders>
                    <w:tl2br w:val="nil"/>
                    <w:tr2bl w:val="nil"/>
                  </w:tcBorders>
                  <w:vAlign w:val="center"/>
                </w:tcPr>
                <w:p>
                  <w:pPr>
                    <w:jc w:val="center"/>
                    <w:textAlignment w:val="center"/>
                  </w:pPr>
                  <w:r>
                    <w:rPr>
                      <w:sz w:val="21"/>
                      <w:szCs w:val="21"/>
                      <w:lang w:bidi="ar"/>
                    </w:rPr>
                    <w:t>昼间</w:t>
                  </w:r>
                </w:p>
              </w:tc>
              <w:tc>
                <w:tcPr>
                  <w:tcW w:w="896"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51</w:t>
                  </w:r>
                </w:p>
              </w:tc>
              <w:tc>
                <w:tcPr>
                  <w:tcW w:w="897"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52</w:t>
                  </w:r>
                </w:p>
              </w:tc>
              <w:tc>
                <w:tcPr>
                  <w:tcW w:w="947"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54</w:t>
                  </w:r>
                </w:p>
              </w:tc>
              <w:tc>
                <w:tcPr>
                  <w:tcW w:w="948" w:type="dxa"/>
                  <w:tcBorders>
                    <w:tl2br w:val="nil"/>
                    <w:tr2bl w:val="nil"/>
                  </w:tcBorders>
                  <w:vAlign w:val="center"/>
                </w:tcPr>
                <w:p>
                  <w:pPr>
                    <w:widowControl/>
                    <w:spacing w:line="240" w:lineRule="auto"/>
                    <w:jc w:val="center"/>
                    <w:textAlignment w:val="center"/>
                  </w:pPr>
                  <w:r>
                    <w:rPr>
                      <w:rFonts w:hint="eastAsia" w:ascii="Times New Roman" w:hAnsi="Times New Roman" w:eastAsia="宋体" w:cs="Times New Roman"/>
                      <w:color w:val="000000"/>
                      <w:kern w:val="0"/>
                      <w:sz w:val="21"/>
                      <w:szCs w:val="21"/>
                      <w:highlight w:val="none"/>
                      <w:lang w:val="en-US" w:eastAsia="zh-CN" w:bidi="ar"/>
                    </w:rPr>
                    <w:t>54</w:t>
                  </w:r>
                </w:p>
              </w:tc>
            </w:tr>
          </w:tbl>
          <w:p>
            <w:pPr>
              <w:ind w:firstLine="480" w:firstLineChars="200"/>
              <w:jc w:val="both"/>
              <w:textAlignment w:val="baseline"/>
              <w:rPr>
                <w:bCs/>
                <w:color w:val="000000"/>
                <w:szCs w:val="24"/>
              </w:rPr>
            </w:pPr>
            <w:r>
              <w:rPr>
                <w:bCs/>
                <w:color w:val="000000"/>
                <w:szCs w:val="24"/>
              </w:rPr>
              <w:t>由检测结果可知：本项目东、</w:t>
            </w:r>
            <w:r>
              <w:rPr>
                <w:rFonts w:hint="eastAsia"/>
                <w:bCs/>
                <w:color w:val="000000"/>
                <w:szCs w:val="24"/>
              </w:rPr>
              <w:t>西、北、南</w:t>
            </w:r>
            <w:r>
              <w:rPr>
                <w:bCs/>
                <w:color w:val="000000"/>
                <w:szCs w:val="24"/>
              </w:rPr>
              <w:t>各厂界昼间噪声值为：</w:t>
            </w:r>
            <w:r>
              <w:rPr>
                <w:rFonts w:hint="eastAsia"/>
                <w:bCs/>
                <w:color w:val="000000"/>
                <w:szCs w:val="24"/>
              </w:rPr>
              <w:t>5</w:t>
            </w:r>
            <w:r>
              <w:rPr>
                <w:rFonts w:hint="eastAsia"/>
                <w:bCs/>
                <w:color w:val="000000"/>
                <w:szCs w:val="24"/>
                <w:lang w:val="en-US" w:eastAsia="zh-CN"/>
              </w:rPr>
              <w:t>1</w:t>
            </w:r>
            <w:r>
              <w:rPr>
                <w:rFonts w:hint="eastAsia"/>
                <w:bCs/>
                <w:color w:val="000000"/>
                <w:szCs w:val="24"/>
              </w:rPr>
              <w:t>-5</w:t>
            </w:r>
            <w:r>
              <w:rPr>
                <w:rFonts w:hint="eastAsia"/>
                <w:bCs/>
                <w:color w:val="000000"/>
                <w:szCs w:val="24"/>
                <w:lang w:val="en-US" w:eastAsia="zh-CN"/>
              </w:rPr>
              <w:t>4</w:t>
            </w:r>
            <w:r>
              <w:rPr>
                <w:bCs/>
                <w:color w:val="000000"/>
                <w:szCs w:val="24"/>
              </w:rPr>
              <w:t>dB（A）</w:t>
            </w:r>
            <w:r>
              <w:rPr>
                <w:rFonts w:hint="eastAsia"/>
                <w:bCs/>
                <w:color w:val="000000"/>
                <w:szCs w:val="24"/>
              </w:rPr>
              <w:t>，</w:t>
            </w:r>
            <w:r>
              <w:rPr>
                <w:bCs/>
                <w:color w:val="000000"/>
                <w:szCs w:val="24"/>
              </w:rPr>
              <w:t>可以满足《工业企业厂界环境噪声排放标准》（GB12348-2008）</w:t>
            </w:r>
            <w:r>
              <w:rPr>
                <w:rFonts w:hint="eastAsia"/>
                <w:bCs/>
                <w:color w:val="000000"/>
                <w:szCs w:val="24"/>
              </w:rPr>
              <w:t>3类</w:t>
            </w:r>
            <w:r>
              <w:rPr>
                <w:bCs/>
                <w:color w:val="000000"/>
                <w:szCs w:val="24"/>
              </w:rPr>
              <w:t>标准昼间6</w:t>
            </w:r>
            <w:r>
              <w:rPr>
                <w:rFonts w:hint="eastAsia"/>
                <w:bCs/>
                <w:color w:val="000000"/>
                <w:szCs w:val="24"/>
              </w:rPr>
              <w:t>5</w:t>
            </w:r>
            <w:r>
              <w:rPr>
                <w:bCs/>
                <w:color w:val="000000"/>
                <w:szCs w:val="24"/>
              </w:rPr>
              <w:t>dB（A）的限值要求</w:t>
            </w:r>
            <w:r>
              <w:rPr>
                <w:rFonts w:hint="eastAsia"/>
                <w:bCs/>
                <w:color w:val="000000"/>
                <w:szCs w:val="24"/>
              </w:rPr>
              <w:t>。</w:t>
            </w:r>
          </w:p>
          <w:p>
            <w:pPr>
              <w:spacing w:line="520" w:lineRule="exact"/>
              <w:ind w:firstLine="482"/>
              <w:textAlignment w:val="baseline"/>
              <w:rPr>
                <w:b/>
                <w:bCs/>
                <w:szCs w:val="24"/>
              </w:rPr>
            </w:pPr>
            <w:r>
              <w:rPr>
                <w:rFonts w:hint="eastAsia" w:ascii="宋体" w:hAnsi="宋体"/>
                <w:b/>
                <w:bCs/>
                <w:szCs w:val="24"/>
              </w:rPr>
              <w:t>二</w:t>
            </w:r>
            <w:r>
              <w:rPr>
                <w:rFonts w:ascii="宋体" w:hAnsi="宋体"/>
                <w:b/>
                <w:bCs/>
                <w:szCs w:val="24"/>
              </w:rPr>
              <w:t>、环境管理检查</w:t>
            </w:r>
          </w:p>
          <w:p>
            <w:pPr>
              <w:ind w:firstLine="480"/>
              <w:textAlignment w:val="baseline"/>
              <w:rPr>
                <w:bCs/>
                <w:szCs w:val="24"/>
              </w:rPr>
            </w:pPr>
            <w:r>
              <w:rPr>
                <w:bCs/>
                <w:szCs w:val="24"/>
              </w:rPr>
              <w:t>1、环保手续与“三同时”执行情况</w:t>
            </w:r>
          </w:p>
          <w:p>
            <w:pPr>
              <w:ind w:firstLine="480"/>
              <w:textAlignment w:val="baseline"/>
              <w:rPr>
                <w:bCs/>
                <w:szCs w:val="24"/>
              </w:rPr>
            </w:pPr>
            <w:r>
              <w:rPr>
                <w:bCs/>
                <w:szCs w:val="24"/>
              </w:rPr>
              <w:t>建设单位开工建设前进行了环境影响评价，建设过程中落实了“三同时”制度。</w:t>
            </w:r>
          </w:p>
          <w:p>
            <w:pPr>
              <w:ind w:firstLine="480"/>
              <w:textAlignment w:val="baseline"/>
              <w:rPr>
                <w:bCs/>
                <w:szCs w:val="24"/>
              </w:rPr>
            </w:pPr>
            <w:r>
              <w:rPr>
                <w:bCs/>
                <w:szCs w:val="24"/>
              </w:rPr>
              <w:t>2、环境管理制度及执行情况</w:t>
            </w:r>
          </w:p>
          <w:p>
            <w:pPr>
              <w:ind w:firstLine="480"/>
              <w:textAlignment w:val="baseline"/>
              <w:rPr>
                <w:bCs/>
                <w:szCs w:val="24"/>
              </w:rPr>
            </w:pPr>
            <w:r>
              <w:rPr>
                <w:bCs/>
                <w:szCs w:val="24"/>
              </w:rPr>
              <w:t>建设单位按照有关规定建立了相关环境保护管理制度，由专人负责公司环境管理工作。</w:t>
            </w:r>
          </w:p>
          <w:p>
            <w:pPr>
              <w:ind w:firstLine="480"/>
              <w:textAlignment w:val="baseline"/>
              <w:rPr>
                <w:bCs/>
                <w:szCs w:val="24"/>
              </w:rPr>
            </w:pPr>
            <w:r>
              <w:rPr>
                <w:bCs/>
                <w:szCs w:val="24"/>
              </w:rPr>
              <w:t>3、环保设施运转情况</w:t>
            </w:r>
          </w:p>
          <w:p>
            <w:pPr>
              <w:ind w:firstLine="480"/>
              <w:textAlignment w:val="baseline"/>
              <w:rPr>
                <w:bCs/>
                <w:szCs w:val="24"/>
              </w:rPr>
            </w:pPr>
            <w:r>
              <w:rPr>
                <w:bCs/>
                <w:szCs w:val="24"/>
              </w:rPr>
              <w:t>监测期间各项环保设施运转正常。</w:t>
            </w:r>
          </w:p>
          <w:p>
            <w:pPr>
              <w:widowControl w:val="0"/>
              <w:spacing w:line="520" w:lineRule="exact"/>
              <w:ind w:firstLine="480"/>
              <w:jc w:val="both"/>
              <w:textAlignment w:val="baseline"/>
              <w:rPr>
                <w:bCs/>
                <w:color w:val="000000"/>
                <w:szCs w:val="24"/>
              </w:rPr>
            </w:pPr>
            <w:r>
              <w:rPr>
                <w:bCs/>
                <w:color w:val="000000"/>
                <w:szCs w:val="24"/>
              </w:rPr>
              <w:t>4、与建设项目竣工环境保护验收暂行办法（国环规环评【2017】4号）以下简称（暂行办法）对比分析</w:t>
            </w:r>
          </w:p>
          <w:p>
            <w:pPr>
              <w:pStyle w:val="32"/>
              <w:bidi w:val="0"/>
              <w:spacing w:line="240" w:lineRule="auto"/>
            </w:pPr>
            <w:r>
              <w:t>表</w:t>
            </w:r>
            <w:r>
              <w:rPr>
                <w:rFonts w:hint="eastAsia"/>
                <w:lang w:val="en-US" w:eastAsia="zh-CN"/>
              </w:rPr>
              <w:t>17</w:t>
            </w:r>
            <w:r>
              <w:rPr>
                <w:rFonts w:hint="eastAsia"/>
              </w:rPr>
              <w:t xml:space="preserve">             本项目与暂行办法对比分析情况</w:t>
            </w:r>
          </w:p>
          <w:tbl>
            <w:tblPr>
              <w:tblStyle w:val="1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3120"/>
              <w:gridCol w:w="1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vAlign w:val="center"/>
                </w:tcPr>
                <w:p>
                  <w:pPr>
                    <w:spacing w:line="240" w:lineRule="auto"/>
                    <w:jc w:val="center"/>
                    <w:textAlignment w:val="baseline"/>
                    <w:rPr>
                      <w:b/>
                      <w:bCs/>
                      <w:color w:val="000000"/>
                      <w:sz w:val="21"/>
                      <w:szCs w:val="21"/>
                    </w:rPr>
                  </w:pPr>
                  <w:r>
                    <w:rPr>
                      <w:b/>
                      <w:bCs/>
                      <w:color w:val="000000"/>
                      <w:sz w:val="21"/>
                      <w:szCs w:val="21"/>
                    </w:rPr>
                    <w:t>内容</w:t>
                  </w:r>
                </w:p>
              </w:tc>
              <w:tc>
                <w:tcPr>
                  <w:tcW w:w="1878" w:type="pct"/>
                  <w:tcBorders>
                    <w:top w:val="single" w:color="auto" w:sz="8" w:space="0"/>
                    <w:right w:val="single" w:color="auto" w:sz="4" w:space="0"/>
                  </w:tcBorders>
                  <w:vAlign w:val="center"/>
                </w:tcPr>
                <w:p>
                  <w:pPr>
                    <w:spacing w:line="240" w:lineRule="auto"/>
                    <w:jc w:val="center"/>
                    <w:textAlignment w:val="baseline"/>
                    <w:rPr>
                      <w:b/>
                      <w:bCs/>
                      <w:color w:val="000000"/>
                      <w:sz w:val="21"/>
                      <w:szCs w:val="21"/>
                    </w:rPr>
                  </w:pPr>
                  <w:r>
                    <w:rPr>
                      <w:b/>
                      <w:bCs/>
                      <w:color w:val="000000"/>
                      <w:sz w:val="21"/>
                      <w:szCs w:val="21"/>
                    </w:rPr>
                    <w:t>本项目情况</w:t>
                  </w:r>
                </w:p>
              </w:tc>
              <w:tc>
                <w:tcPr>
                  <w:tcW w:w="648" w:type="pct"/>
                  <w:tcBorders>
                    <w:top w:val="single" w:color="auto" w:sz="8" w:space="0"/>
                    <w:bottom w:val="single" w:color="auto" w:sz="4" w:space="0"/>
                  </w:tcBorders>
                  <w:vAlign w:val="center"/>
                </w:tcPr>
                <w:p>
                  <w:pPr>
                    <w:spacing w:line="240" w:lineRule="auto"/>
                    <w:jc w:val="center"/>
                    <w:textAlignment w:val="baseline"/>
                    <w:rPr>
                      <w:b/>
                      <w:bCs/>
                      <w:color w:val="000000"/>
                      <w:sz w:val="21"/>
                      <w:szCs w:val="21"/>
                    </w:rPr>
                  </w:pPr>
                  <w:r>
                    <w:rPr>
                      <w:b/>
                      <w:bCs/>
                      <w:color w:val="000000"/>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vAlign w:val="center"/>
                </w:tcPr>
                <w:p>
                  <w:pPr>
                    <w:spacing w:line="240" w:lineRule="auto"/>
                    <w:jc w:val="both"/>
                    <w:textAlignment w:val="center"/>
                    <w:rPr>
                      <w:color w:val="000000"/>
                      <w:sz w:val="21"/>
                      <w:szCs w:val="21"/>
                      <w:lang w:bidi="ar"/>
                    </w:rPr>
                  </w:pPr>
                  <w:r>
                    <w:rPr>
                      <w:color w:val="000000"/>
                      <w:sz w:val="21"/>
                      <w:szCs w:val="21"/>
                      <w:lang w:bidi="ar"/>
                    </w:rPr>
                    <w:t>本项目建成环境保护设施能与主体工程同时投产使用。</w:t>
                  </w:r>
                </w:p>
              </w:tc>
              <w:tc>
                <w:tcPr>
                  <w:tcW w:w="648" w:type="pct"/>
                  <w:vAlign w:val="center"/>
                </w:tcPr>
                <w:p>
                  <w:pPr>
                    <w:spacing w:line="240" w:lineRule="auto"/>
                    <w:jc w:val="center"/>
                    <w:textAlignment w:val="baseline"/>
                    <w:rPr>
                      <w:bCs/>
                      <w:color w:val="000000"/>
                      <w:sz w:val="21"/>
                      <w:szCs w:val="21"/>
                    </w:rPr>
                  </w:pPr>
                  <w:r>
                    <w:rPr>
                      <w:bCs/>
                      <w:color w:val="00000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本项目污染物排放符合国家和地方相关标准、环境影响报告表及其审批部门审批决定。</w:t>
                  </w:r>
                </w:p>
              </w:tc>
              <w:tc>
                <w:tcPr>
                  <w:tcW w:w="648" w:type="pct"/>
                  <w:vAlign w:val="center"/>
                </w:tcPr>
                <w:p>
                  <w:pPr>
                    <w:spacing w:line="240" w:lineRule="auto"/>
                    <w:jc w:val="center"/>
                    <w:textAlignment w:val="baseline"/>
                    <w:rPr>
                      <w:bCs/>
                      <w:color w:val="000000"/>
                      <w:sz w:val="21"/>
                      <w:szCs w:val="21"/>
                    </w:rPr>
                  </w:pPr>
                  <w:r>
                    <w:rPr>
                      <w:bCs/>
                      <w:color w:val="00000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根据本项目实际建设情况与《污染影响类建设项目重大变动清单（试行）的通知》（环办环评函[2020]688号）的对比分析</w:t>
                  </w:r>
                  <w:r>
                    <w:rPr>
                      <w:rFonts w:hint="eastAsia"/>
                      <w:bCs/>
                      <w:color w:val="000000"/>
                      <w:sz w:val="21"/>
                      <w:szCs w:val="21"/>
                    </w:rPr>
                    <w:t>(表12）可</w:t>
                  </w:r>
                  <w:r>
                    <w:rPr>
                      <w:bCs/>
                      <w:color w:val="000000"/>
                      <w:sz w:val="21"/>
                      <w:szCs w:val="21"/>
                    </w:rPr>
                    <w:t>知：本项目环境影响报告表经批准后，该建设项目的性质、规模、地点、采用的生产工艺或者防治污染、防止生态破坏的措施未发生重大变动。</w:t>
                  </w:r>
                </w:p>
              </w:tc>
              <w:tc>
                <w:tcPr>
                  <w:tcW w:w="648" w:type="pct"/>
                  <w:vAlign w:val="center"/>
                </w:tcPr>
                <w:p>
                  <w:pPr>
                    <w:spacing w:line="240" w:lineRule="auto"/>
                    <w:jc w:val="center"/>
                    <w:textAlignment w:val="baseline"/>
                    <w:rPr>
                      <w:bCs/>
                      <w:color w:val="000000"/>
                      <w:sz w:val="21"/>
                      <w:szCs w:val="21"/>
                    </w:rPr>
                  </w:pPr>
                  <w:r>
                    <w:rPr>
                      <w:bCs/>
                      <w:color w:val="000000"/>
                      <w:sz w:val="21"/>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建设过程中造成重大环境污染未治理完成，或者造成重大生态破坏未恢复的，建设单位不得提出验收合格的意见。</w:t>
                  </w:r>
                </w:p>
              </w:tc>
              <w:tc>
                <w:tcPr>
                  <w:tcW w:w="1878" w:type="pct"/>
                  <w:tcBorders>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本项目建设过程中未造成重大环境污染和重大生态破坏。</w:t>
                  </w:r>
                </w:p>
              </w:tc>
              <w:tc>
                <w:tcPr>
                  <w:tcW w:w="648" w:type="pct"/>
                  <w:vAlign w:val="center"/>
                </w:tcPr>
                <w:p>
                  <w:pPr>
                    <w:spacing w:line="240" w:lineRule="auto"/>
                    <w:jc w:val="center"/>
                    <w:textAlignment w:val="baseline"/>
                    <w:rPr>
                      <w:bCs/>
                      <w:color w:val="000000"/>
                      <w:sz w:val="21"/>
                      <w:szCs w:val="21"/>
                    </w:rPr>
                  </w:pPr>
                  <w:r>
                    <w:rPr>
                      <w:bCs/>
                      <w:color w:val="000000"/>
                      <w:sz w:val="21"/>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纳入排污许可管理的建设项目，无证排污或者不按证排污的，建设单位不得提出验收合格的意见。</w:t>
                  </w:r>
                </w:p>
              </w:tc>
              <w:tc>
                <w:tcPr>
                  <w:tcW w:w="1878" w:type="pct"/>
                  <w:tcBorders>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本项目已办理排污许可证。</w:t>
                  </w:r>
                </w:p>
              </w:tc>
              <w:tc>
                <w:tcPr>
                  <w:tcW w:w="648" w:type="pct"/>
                  <w:vAlign w:val="center"/>
                </w:tcPr>
                <w:p>
                  <w:pPr>
                    <w:spacing w:line="240" w:lineRule="auto"/>
                    <w:jc w:val="center"/>
                    <w:textAlignment w:val="baseline"/>
                    <w:rPr>
                      <w:bCs/>
                      <w:color w:val="000000"/>
                      <w:sz w:val="21"/>
                      <w:szCs w:val="21"/>
                    </w:rPr>
                  </w:pPr>
                  <w:r>
                    <w:rPr>
                      <w:bCs/>
                      <w:color w:val="00000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本项目不属于分期建设、分期验收项目。</w:t>
                  </w:r>
                </w:p>
              </w:tc>
              <w:tc>
                <w:tcPr>
                  <w:tcW w:w="648" w:type="pct"/>
                  <w:vAlign w:val="center"/>
                </w:tcPr>
                <w:p>
                  <w:pPr>
                    <w:spacing w:line="240" w:lineRule="auto"/>
                    <w:jc w:val="center"/>
                    <w:textAlignment w:val="baseline"/>
                    <w:rPr>
                      <w:bCs/>
                      <w:color w:val="000000"/>
                      <w:sz w:val="21"/>
                      <w:szCs w:val="21"/>
                    </w:rPr>
                  </w:pPr>
                  <w:r>
                    <w:rPr>
                      <w:bCs/>
                      <w:color w:val="000000"/>
                      <w:sz w:val="21"/>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spacing w:line="240" w:lineRule="auto"/>
                    <w:jc w:val="both"/>
                    <w:textAlignment w:val="baseline"/>
                    <w:rPr>
                      <w:bCs/>
                      <w:color w:val="000000"/>
                      <w:sz w:val="21"/>
                      <w:szCs w:val="21"/>
                    </w:rPr>
                  </w:pPr>
                  <w:r>
                    <w:rPr>
                      <w:bCs/>
                      <w:color w:val="000000"/>
                      <w:sz w:val="21"/>
                      <w:szCs w:val="21"/>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本建设单位不涉及违反国家和地方环境保护法律法规。</w:t>
                  </w:r>
                </w:p>
              </w:tc>
              <w:tc>
                <w:tcPr>
                  <w:tcW w:w="648" w:type="pct"/>
                  <w:vAlign w:val="center"/>
                </w:tcPr>
                <w:p>
                  <w:pPr>
                    <w:spacing w:line="240" w:lineRule="auto"/>
                    <w:jc w:val="center"/>
                    <w:textAlignment w:val="baseline"/>
                    <w:rPr>
                      <w:bCs/>
                      <w:color w:val="000000"/>
                      <w:sz w:val="21"/>
                      <w:szCs w:val="21"/>
                    </w:rPr>
                  </w:pPr>
                  <w:r>
                    <w:rPr>
                      <w:bCs/>
                      <w:color w:val="000000"/>
                      <w:sz w:val="21"/>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vAlign w:val="center"/>
                </w:tcPr>
                <w:p>
                  <w:pPr>
                    <w:spacing w:line="240" w:lineRule="auto"/>
                    <w:jc w:val="both"/>
                    <w:textAlignment w:val="baseline"/>
                    <w:rPr>
                      <w:bCs/>
                      <w:color w:val="000000"/>
                      <w:sz w:val="21"/>
                      <w:szCs w:val="21"/>
                    </w:rPr>
                  </w:pPr>
                  <w:r>
                    <w:rPr>
                      <w:bCs/>
                      <w:color w:val="000000"/>
                      <w:sz w:val="21"/>
                      <w:szCs w:val="21"/>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本项目验收报告的基础资料数据真实，内容不存在重大缺项、遗漏，验收结论明确、合理。</w:t>
                  </w:r>
                </w:p>
              </w:tc>
              <w:tc>
                <w:tcPr>
                  <w:tcW w:w="648" w:type="pct"/>
                  <w:tcBorders>
                    <w:bottom w:val="single" w:color="auto" w:sz="4" w:space="0"/>
                  </w:tcBorders>
                  <w:vAlign w:val="center"/>
                </w:tcPr>
                <w:p>
                  <w:pPr>
                    <w:spacing w:line="240" w:lineRule="auto"/>
                    <w:jc w:val="center"/>
                    <w:textAlignment w:val="baseline"/>
                    <w:rPr>
                      <w:bCs/>
                      <w:color w:val="000000"/>
                      <w:sz w:val="21"/>
                      <w:szCs w:val="21"/>
                    </w:rPr>
                  </w:pPr>
                  <w:r>
                    <w:rPr>
                      <w:bCs/>
                      <w:color w:val="000000"/>
                      <w:sz w:val="21"/>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8" w:space="0"/>
                  </w:tcBorders>
                  <w:vAlign w:val="center"/>
                </w:tcPr>
                <w:p>
                  <w:pPr>
                    <w:spacing w:line="240" w:lineRule="auto"/>
                    <w:jc w:val="both"/>
                    <w:textAlignment w:val="baseline"/>
                    <w:rPr>
                      <w:bCs/>
                      <w:color w:val="000000"/>
                      <w:sz w:val="21"/>
                      <w:szCs w:val="21"/>
                    </w:rPr>
                  </w:pPr>
                  <w:r>
                    <w:rPr>
                      <w:bCs/>
                      <w:color w:val="000000"/>
                      <w:sz w:val="21"/>
                      <w:szCs w:val="21"/>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vAlign w:val="center"/>
                </w:tcPr>
                <w:p>
                  <w:pPr>
                    <w:spacing w:line="240" w:lineRule="auto"/>
                    <w:jc w:val="both"/>
                    <w:textAlignment w:val="baseline"/>
                    <w:rPr>
                      <w:bCs/>
                      <w:color w:val="000000"/>
                      <w:sz w:val="21"/>
                      <w:szCs w:val="21"/>
                    </w:rPr>
                  </w:pPr>
                  <w:r>
                    <w:rPr>
                      <w:bCs/>
                      <w:color w:val="000000"/>
                      <w:sz w:val="21"/>
                      <w:szCs w:val="21"/>
                    </w:rPr>
                    <w:t>本项目符合其他环境保护法律法规规章的规定。</w:t>
                  </w:r>
                </w:p>
              </w:tc>
              <w:tc>
                <w:tcPr>
                  <w:tcW w:w="648" w:type="pct"/>
                  <w:tcBorders>
                    <w:bottom w:val="single" w:color="auto" w:sz="8" w:space="0"/>
                  </w:tcBorders>
                  <w:vAlign w:val="center"/>
                </w:tcPr>
                <w:p>
                  <w:pPr>
                    <w:spacing w:line="240" w:lineRule="auto"/>
                    <w:jc w:val="center"/>
                    <w:textAlignment w:val="baseline"/>
                    <w:rPr>
                      <w:bCs/>
                      <w:color w:val="000000"/>
                      <w:sz w:val="21"/>
                      <w:szCs w:val="21"/>
                    </w:rPr>
                  </w:pPr>
                  <w:r>
                    <w:rPr>
                      <w:bCs/>
                      <w:color w:val="000000"/>
                      <w:sz w:val="21"/>
                      <w:szCs w:val="21"/>
                    </w:rPr>
                    <w:t>不涉及</w:t>
                  </w:r>
                </w:p>
              </w:tc>
            </w:tr>
          </w:tbl>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widowControl w:val="0"/>
              <w:spacing w:before="100" w:beforeAutospacing="1" w:line="520" w:lineRule="exact"/>
              <w:ind w:firstLine="420"/>
              <w:jc w:val="both"/>
              <w:textAlignment w:val="baseline"/>
              <w:rPr>
                <w:rFonts w:eastAsia="仿宋_GB2312"/>
                <w:szCs w:val="21"/>
              </w:rPr>
            </w:pPr>
          </w:p>
        </w:tc>
      </w:tr>
    </w:tbl>
    <w:p>
      <w:pPr>
        <w:adjustRightInd/>
        <w:snapToGrid/>
        <w:ind w:firstLine="422"/>
        <w:rPr>
          <w:rFonts w:eastAsia="仿宋_GB2312"/>
          <w:b/>
          <w:szCs w:val="21"/>
        </w:rPr>
        <w:sectPr>
          <w:pgSz w:w="11906" w:h="16838"/>
          <w:pgMar w:top="1440" w:right="1800" w:bottom="1440" w:left="1800" w:header="708" w:footer="708" w:gutter="0"/>
          <w:pgNumType w:fmt="decimal"/>
          <w:cols w:space="720" w:num="1"/>
          <w:docGrid w:type="lines" w:linePitch="360" w:charSpace="0"/>
        </w:sectPr>
      </w:pPr>
    </w:p>
    <w:p>
      <w:pPr>
        <w:spacing w:line="440" w:lineRule="exact"/>
        <w:rPr>
          <w:rFonts w:eastAsia="仿宋_GB2312"/>
          <w:b/>
          <w:color w:val="000000"/>
          <w:szCs w:val="24"/>
        </w:rPr>
      </w:pPr>
      <w:r>
        <w:rPr>
          <w:rFonts w:eastAsia="仿宋_GB2312"/>
          <w:b/>
          <w:color w:val="000000"/>
          <w:szCs w:val="24"/>
        </w:rPr>
        <w:t>表八</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CellMar>
            <w:top w:w="0" w:type="dxa"/>
            <w:left w:w="108" w:type="dxa"/>
            <w:bottom w:w="0" w:type="dxa"/>
            <w:right w:w="108" w:type="dxa"/>
          </w:tblCellMar>
        </w:tblPrEx>
        <w:trPr>
          <w:trHeight w:val="217" w:hRule="atLeast"/>
          <w:jc w:val="center"/>
        </w:trPr>
        <w:tc>
          <w:tcPr>
            <w:tcW w:w="8522" w:type="dxa"/>
            <w:tcBorders>
              <w:tl2br w:val="nil"/>
              <w:tr2bl w:val="nil"/>
            </w:tcBorders>
          </w:tcPr>
          <w:p>
            <w:pPr>
              <w:spacing w:line="520" w:lineRule="exact"/>
              <w:ind w:firstLine="480"/>
              <w:rPr>
                <w:rFonts w:ascii="宋体" w:hAnsi="宋体" w:cs="宋体"/>
                <w:szCs w:val="24"/>
              </w:rPr>
            </w:pPr>
            <w:r>
              <w:rPr>
                <w:rFonts w:hint="eastAsia" w:ascii="宋体" w:hAnsi="宋体" w:cs="宋体"/>
                <w:szCs w:val="24"/>
              </w:rPr>
              <w:t>验收监测结论：</w:t>
            </w:r>
          </w:p>
          <w:p>
            <w:pPr>
              <w:ind w:firstLine="482"/>
              <w:textAlignment w:val="baseline"/>
              <w:rPr>
                <w:rFonts w:ascii="宋体" w:hAnsi="宋体" w:cs="宋体"/>
                <w:b/>
                <w:bCs/>
                <w:szCs w:val="24"/>
              </w:rPr>
            </w:pPr>
            <w:bookmarkStart w:id="2" w:name="_Toc504492863"/>
            <w:r>
              <w:rPr>
                <w:rFonts w:hint="eastAsia" w:ascii="宋体" w:hAnsi="宋体" w:cs="宋体"/>
                <w:b/>
                <w:bCs/>
                <w:szCs w:val="24"/>
              </w:rPr>
              <w:t>1、环境保护设施调试效果</w:t>
            </w:r>
            <w:bookmarkEnd w:id="2"/>
          </w:p>
          <w:p>
            <w:pPr>
              <w:ind w:firstLine="480"/>
              <w:jc w:val="both"/>
              <w:textAlignment w:val="baseline"/>
              <w:rPr>
                <w:rFonts w:ascii="宋体" w:hAnsi="宋体" w:cs="宋体"/>
                <w:bCs/>
                <w:szCs w:val="24"/>
              </w:rPr>
            </w:pPr>
            <w:r>
              <w:rPr>
                <w:rFonts w:hint="eastAsia" w:ascii="宋体" w:hAnsi="宋体" w:cs="宋体"/>
                <w:bCs/>
                <w:szCs w:val="24"/>
              </w:rPr>
              <w:t>（1）</w:t>
            </w:r>
            <w:r>
              <w:rPr>
                <w:rFonts w:hint="eastAsia" w:ascii="宋体" w:hAnsi="宋体" w:cs="宋体"/>
                <w:bCs/>
                <w:color w:val="000000"/>
                <w:szCs w:val="24"/>
              </w:rPr>
              <w:t>验收</w:t>
            </w:r>
            <w:r>
              <w:rPr>
                <w:rFonts w:hint="eastAsia" w:ascii="宋体" w:hAnsi="宋体" w:cs="宋体"/>
                <w:bCs/>
                <w:szCs w:val="24"/>
              </w:rPr>
              <w:t>监测</w:t>
            </w:r>
            <w:r>
              <w:rPr>
                <w:rFonts w:hint="eastAsia" w:ascii="宋体" w:hAnsi="宋体" w:cs="宋体"/>
                <w:bCs/>
                <w:color w:val="000000"/>
                <w:szCs w:val="24"/>
              </w:rPr>
              <w:t>期间，该项目主体工程调试工况稳定，各项环境保护设施运行正常，符合验收</w:t>
            </w:r>
            <w:r>
              <w:rPr>
                <w:rFonts w:hint="eastAsia" w:ascii="宋体" w:hAnsi="宋体" w:cs="宋体"/>
                <w:bCs/>
                <w:szCs w:val="24"/>
              </w:rPr>
              <w:t>监测</w:t>
            </w:r>
            <w:r>
              <w:rPr>
                <w:rFonts w:hint="eastAsia" w:ascii="宋体" w:hAnsi="宋体" w:cs="宋体"/>
                <w:bCs/>
                <w:color w:val="000000"/>
                <w:szCs w:val="24"/>
              </w:rPr>
              <w:t>期间对生产工况的要求。</w:t>
            </w:r>
          </w:p>
          <w:p>
            <w:pPr>
              <w:ind w:firstLine="480" w:firstLineChars="200"/>
              <w:rPr>
                <w:rFonts w:ascii="宋体" w:hAnsi="宋体" w:cs="宋体"/>
                <w:bCs/>
                <w:szCs w:val="24"/>
                <w:lang w:eastAsia="zh-Hans"/>
              </w:rPr>
            </w:pPr>
            <w:r>
              <w:rPr>
                <w:rFonts w:hint="eastAsia" w:ascii="宋体" w:hAnsi="宋体" w:cs="宋体"/>
                <w:bCs/>
                <w:szCs w:val="24"/>
              </w:rPr>
              <w:t>（2）实际建设中因市场需求，本单位取消加气</w:t>
            </w:r>
            <w:r>
              <w:rPr>
                <w:rFonts w:hint="eastAsia" w:ascii="宋体" w:hAnsi="宋体" w:cs="宋体"/>
                <w:bCs/>
                <w:szCs w:val="24"/>
                <w:lang w:val="en-US" w:eastAsia="zh-CN"/>
              </w:rPr>
              <w:t>和柴油</w:t>
            </w:r>
            <w:r>
              <w:rPr>
                <w:rFonts w:hint="eastAsia" w:ascii="宋体" w:hAnsi="宋体" w:cs="宋体"/>
                <w:bCs/>
                <w:szCs w:val="24"/>
              </w:rPr>
              <w:t>业务，故所有加气</w:t>
            </w:r>
            <w:r>
              <w:rPr>
                <w:rFonts w:hint="eastAsia" w:ascii="宋体" w:hAnsi="宋体" w:cs="宋体"/>
                <w:bCs/>
                <w:szCs w:val="24"/>
                <w:lang w:val="en-US" w:eastAsia="zh-CN"/>
              </w:rPr>
              <w:t>和柴油</w:t>
            </w:r>
            <w:r>
              <w:rPr>
                <w:rFonts w:hint="eastAsia" w:ascii="宋体" w:hAnsi="宋体" w:cs="宋体"/>
                <w:bCs/>
                <w:szCs w:val="24"/>
              </w:rPr>
              <w:t>设备均未建设</w:t>
            </w:r>
            <w:r>
              <w:rPr>
                <w:rFonts w:hint="eastAsia" w:ascii="宋体" w:hAnsi="宋体" w:cs="宋体"/>
                <w:bCs/>
                <w:szCs w:val="24"/>
                <w:lang w:eastAsia="zh-Hans"/>
              </w:rPr>
              <w:t>；</w:t>
            </w:r>
            <w:r>
              <w:rPr>
                <w:rFonts w:hint="eastAsia"/>
                <w:lang w:val="en-US" w:eastAsia="zh-Hans"/>
              </w:rPr>
              <w:t>汽油储罐数量由</w:t>
            </w:r>
            <w:r>
              <w:rPr>
                <w:rFonts w:hint="default"/>
                <w:lang w:eastAsia="zh-Hans"/>
              </w:rPr>
              <w:t>2</w:t>
            </w:r>
            <w:r>
              <w:rPr>
                <w:rFonts w:hint="eastAsia"/>
                <w:lang w:val="en-US" w:eastAsia="zh-Hans"/>
              </w:rPr>
              <w:t>个增加为</w:t>
            </w:r>
            <w:r>
              <w:rPr>
                <w:rFonts w:hint="default"/>
                <w:lang w:eastAsia="zh-Hans"/>
              </w:rPr>
              <w:t>3</w:t>
            </w:r>
            <w:r>
              <w:rPr>
                <w:rFonts w:hint="eastAsia"/>
                <w:lang w:val="en-US" w:eastAsia="zh-Hans"/>
              </w:rPr>
              <w:t>个，四强加油机（汽油）数量由</w:t>
            </w:r>
            <w:r>
              <w:rPr>
                <w:rFonts w:hint="default"/>
                <w:lang w:eastAsia="zh-Hans"/>
              </w:rPr>
              <w:t>1</w:t>
            </w:r>
            <w:r>
              <w:rPr>
                <w:rFonts w:hint="eastAsia"/>
                <w:lang w:val="en-US" w:eastAsia="zh-Hans"/>
              </w:rPr>
              <w:t>个增加为</w:t>
            </w:r>
            <w:r>
              <w:rPr>
                <w:rFonts w:hint="default"/>
                <w:lang w:eastAsia="zh-Hans"/>
              </w:rPr>
              <w:t>3</w:t>
            </w:r>
            <w:r>
              <w:rPr>
                <w:rFonts w:hint="eastAsia"/>
                <w:lang w:val="en-US" w:eastAsia="zh-Hans"/>
              </w:rPr>
              <w:t>个，</w:t>
            </w:r>
            <w:r>
              <w:rPr>
                <w:rFonts w:hint="eastAsia" w:ascii="宋体" w:hAnsi="宋体" w:cs="宋体"/>
                <w:bCs/>
                <w:szCs w:val="24"/>
                <w:lang w:eastAsia="zh-Hans"/>
              </w:rPr>
              <w:t>事故池未进行建设。</w:t>
            </w:r>
          </w:p>
          <w:p>
            <w:pPr>
              <w:ind w:firstLine="480" w:firstLineChars="200"/>
              <w:jc w:val="both"/>
              <w:rPr>
                <w:rFonts w:ascii="宋体"/>
                <w:bCs/>
                <w:color w:val="000000"/>
                <w:szCs w:val="24"/>
              </w:rPr>
            </w:pPr>
            <w:r>
              <w:rPr>
                <w:rFonts w:hint="eastAsia" w:ascii="宋体"/>
                <w:bCs/>
                <w:color w:val="000000"/>
                <w:szCs w:val="24"/>
              </w:rPr>
              <w:t>变动情况分析：</w:t>
            </w:r>
          </w:p>
          <w:p>
            <w:pPr>
              <w:ind w:firstLine="480" w:firstLineChars="200"/>
              <w:rPr>
                <w:rFonts w:hint="default" w:eastAsia="宋体"/>
                <w:lang w:val="en-US" w:eastAsia="zh-CN"/>
              </w:rPr>
            </w:pPr>
            <w:r>
              <w:rPr>
                <w:rFonts w:hint="eastAsia"/>
              </w:rPr>
              <w:t>实际建设中因市场需求，本单位取消加气</w:t>
            </w:r>
            <w:r>
              <w:rPr>
                <w:rFonts w:hint="eastAsia"/>
                <w:lang w:val="en-US" w:eastAsia="zh-Hans"/>
              </w:rPr>
              <w:t>和柴油</w:t>
            </w:r>
            <w:r>
              <w:rPr>
                <w:rFonts w:hint="eastAsia"/>
              </w:rPr>
              <w:t>业务，故所有加气设备均未建设</w:t>
            </w:r>
            <w:r>
              <w:rPr>
                <w:rFonts w:hint="eastAsia"/>
                <w:lang w:eastAsia="zh-Hans"/>
              </w:rPr>
              <w:t>，</w:t>
            </w:r>
            <w:r>
              <w:rPr>
                <w:rFonts w:hint="eastAsia"/>
                <w:lang w:val="en-US" w:eastAsia="zh-Hans"/>
              </w:rPr>
              <w:t>汽油储罐数量由</w:t>
            </w:r>
            <w:r>
              <w:rPr>
                <w:rFonts w:hint="default"/>
                <w:lang w:eastAsia="zh-Hans"/>
              </w:rPr>
              <w:t>2</w:t>
            </w:r>
            <w:r>
              <w:rPr>
                <w:rFonts w:hint="eastAsia"/>
                <w:lang w:val="en-US" w:eastAsia="zh-Hans"/>
              </w:rPr>
              <w:t>个增加为</w:t>
            </w:r>
            <w:r>
              <w:rPr>
                <w:rFonts w:hint="default"/>
                <w:lang w:eastAsia="zh-Hans"/>
              </w:rPr>
              <w:t>3</w:t>
            </w:r>
            <w:r>
              <w:rPr>
                <w:rFonts w:hint="eastAsia"/>
                <w:lang w:val="en-US" w:eastAsia="zh-Hans"/>
              </w:rPr>
              <w:t>个，四强加油机（汽油）数量由</w:t>
            </w:r>
            <w:r>
              <w:rPr>
                <w:rFonts w:hint="default"/>
                <w:lang w:eastAsia="zh-Hans"/>
              </w:rPr>
              <w:t>1</w:t>
            </w:r>
            <w:r>
              <w:rPr>
                <w:rFonts w:hint="eastAsia"/>
                <w:lang w:val="en-US" w:eastAsia="zh-Hans"/>
              </w:rPr>
              <w:t>个增加为</w:t>
            </w:r>
            <w:r>
              <w:rPr>
                <w:rFonts w:hint="default"/>
                <w:lang w:eastAsia="zh-Hans"/>
              </w:rPr>
              <w:t>3</w:t>
            </w:r>
            <w:r>
              <w:rPr>
                <w:rFonts w:hint="eastAsia"/>
                <w:lang w:val="en-US" w:eastAsia="zh-Hans"/>
              </w:rPr>
              <w:t>个，但年用油量不变，不影响总体产能</w:t>
            </w:r>
            <w:r>
              <w:rPr>
                <w:rFonts w:hint="eastAsia"/>
                <w:lang w:val="en-US" w:eastAsia="zh-CN"/>
              </w:rPr>
              <w:t>，不属于重大变动。</w:t>
            </w:r>
          </w:p>
          <w:p>
            <w:pPr>
              <w:ind w:firstLine="480" w:firstLineChars="200"/>
              <w:jc w:val="both"/>
              <w:rPr>
                <w:lang w:eastAsia="zh-Hans"/>
              </w:rPr>
            </w:pPr>
            <w:r>
              <w:rPr>
                <w:rFonts w:hint="eastAsia"/>
                <w:lang w:eastAsia="zh-Hans"/>
              </w:rPr>
              <w:t>根据《汽车加油加气站设计与施工标准</w:t>
            </w:r>
            <w:r>
              <w:rPr>
                <w:lang w:eastAsia="zh-Hans"/>
              </w:rPr>
              <w:t>GB50156-2021</w:t>
            </w:r>
            <w:r>
              <w:rPr>
                <w:rFonts w:hint="eastAsia"/>
                <w:lang w:eastAsia="zh-Hans"/>
              </w:rPr>
              <w:t>》，加油站可不设消防给水系统，灭火采用消防沙，本单位已配备消防沙箱，故未建设事故池。</w:t>
            </w:r>
          </w:p>
          <w:p>
            <w:pPr>
              <w:ind w:firstLine="480" w:firstLineChars="200"/>
              <w:rPr>
                <w:rFonts w:ascii="宋体" w:hAnsi="宋体" w:cs="宋体"/>
                <w:bCs/>
                <w:color w:val="000000"/>
                <w:szCs w:val="24"/>
              </w:rPr>
            </w:pPr>
            <w:r>
              <w:rPr>
                <w:rFonts w:hint="eastAsia" w:ascii="宋体" w:hAnsi="宋体" w:cs="宋体"/>
                <w:bCs/>
                <w:color w:val="000000"/>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pPr>
              <w:ind w:firstLine="480" w:firstLineChars="200"/>
              <w:rPr>
                <w:rFonts w:ascii="宋体" w:hAnsi="宋体" w:cs="宋体"/>
                <w:kern w:val="2"/>
                <w:szCs w:val="24"/>
              </w:rPr>
            </w:pPr>
            <w:r>
              <w:rPr>
                <w:rFonts w:hint="eastAsia" w:ascii="宋体" w:hAnsi="宋体" w:cs="宋体"/>
                <w:bCs/>
                <w:color w:val="000000"/>
                <w:szCs w:val="24"/>
              </w:rPr>
              <w:t>（3）</w:t>
            </w:r>
            <w:r>
              <w:rPr>
                <w:rFonts w:hint="eastAsia" w:ascii="宋体" w:hAnsi="宋体" w:cs="宋体"/>
                <w:kern w:val="2"/>
                <w:szCs w:val="24"/>
              </w:rPr>
              <w:t>废气污染物排放监测结果：</w:t>
            </w:r>
          </w:p>
          <w:p>
            <w:pPr>
              <w:ind w:firstLine="480" w:firstLineChars="200"/>
              <w:rPr>
                <w:szCs w:val="24"/>
              </w:rPr>
            </w:pPr>
            <w:r>
              <w:rPr>
                <w:rFonts w:hint="eastAsia" w:ascii="宋体" w:hAnsi="宋体" w:cs="宋体"/>
                <w:bCs/>
                <w:szCs w:val="24"/>
              </w:rPr>
              <w:t>无组织废气：</w:t>
            </w:r>
            <w:r>
              <w:rPr>
                <w:rFonts w:hint="eastAsia"/>
                <w:color w:val="000000"/>
                <w:szCs w:val="24"/>
                <w:lang w:eastAsia="zh-Hans"/>
              </w:rPr>
              <w:t>该项目的非甲烷总烃厂界无组织废气为</w:t>
            </w:r>
            <w:r>
              <w:rPr>
                <w:color w:val="000000"/>
                <w:szCs w:val="24"/>
                <w:lang w:eastAsia="zh-Hans"/>
              </w:rPr>
              <w:t>0</w:t>
            </w:r>
            <w:r>
              <w:rPr>
                <w:rFonts w:hint="eastAsia"/>
                <w:color w:val="000000"/>
                <w:szCs w:val="24"/>
                <w:lang w:eastAsia="zh-Hans"/>
              </w:rPr>
              <w:t>.</w:t>
            </w:r>
            <w:r>
              <w:rPr>
                <w:color w:val="000000"/>
                <w:szCs w:val="24"/>
                <w:lang w:eastAsia="zh-Hans"/>
              </w:rPr>
              <w:t>4</w:t>
            </w:r>
            <w:r>
              <w:rPr>
                <w:rFonts w:hint="eastAsia"/>
                <w:color w:val="000000"/>
                <w:szCs w:val="24"/>
                <w:lang w:val="en-US" w:eastAsia="zh-CN"/>
              </w:rPr>
              <w:t>1</w:t>
            </w:r>
            <w:r>
              <w:rPr>
                <w:color w:val="000000"/>
                <w:szCs w:val="24"/>
                <w:lang w:eastAsia="zh-Hans"/>
              </w:rPr>
              <w:t>-0</w:t>
            </w:r>
            <w:r>
              <w:rPr>
                <w:rFonts w:hint="eastAsia"/>
                <w:color w:val="000000"/>
                <w:szCs w:val="24"/>
                <w:lang w:eastAsia="zh-Hans"/>
              </w:rPr>
              <w:t>.</w:t>
            </w:r>
            <w:r>
              <w:rPr>
                <w:color w:val="000000"/>
                <w:szCs w:val="24"/>
                <w:lang w:eastAsia="zh-Hans"/>
              </w:rPr>
              <w:t>6</w:t>
            </w:r>
            <w:r>
              <w:rPr>
                <w:rFonts w:hint="eastAsia"/>
                <w:color w:val="000000"/>
                <w:szCs w:val="24"/>
                <w:lang w:val="en-US" w:eastAsia="zh-CN"/>
              </w:rPr>
              <w:t>7</w:t>
            </w:r>
            <w:r>
              <w:rPr>
                <w:color w:val="000000"/>
                <w:szCs w:val="24"/>
                <w:lang w:eastAsia="zh-Hans"/>
              </w:rPr>
              <w:t>mg/m</w:t>
            </w:r>
            <w:r>
              <w:rPr>
                <w:color w:val="000000"/>
                <w:szCs w:val="24"/>
                <w:vertAlign w:val="superscript"/>
                <w:lang w:eastAsia="zh-Hans"/>
              </w:rPr>
              <w:t>3</w:t>
            </w:r>
            <w:r>
              <w:rPr>
                <w:color w:val="000000"/>
                <w:szCs w:val="24"/>
                <w:lang w:eastAsia="zh-Hans"/>
              </w:rPr>
              <w:t>，</w:t>
            </w:r>
            <w:r>
              <w:rPr>
                <w:rFonts w:hint="eastAsia"/>
                <w:color w:val="000000"/>
                <w:szCs w:val="24"/>
                <w:lang w:eastAsia="zh-Hans"/>
              </w:rPr>
              <w:t>可以满足</w:t>
            </w:r>
            <w:r>
              <w:rPr>
                <w:szCs w:val="24"/>
              </w:rPr>
              <w:t>《大气污染物综合排放标准》（GB16297-1996）二级标准</w:t>
            </w:r>
            <w:r>
              <w:rPr>
                <w:rFonts w:hint="eastAsia"/>
                <w:szCs w:val="24"/>
              </w:rPr>
              <w:t>中非甲烷总烃</w:t>
            </w:r>
            <w:r>
              <w:rPr>
                <w:szCs w:val="24"/>
              </w:rPr>
              <w:t>无组织排放监控浓度限值浓度，</w:t>
            </w:r>
            <w:r>
              <w:rPr>
                <w:rFonts w:hint="eastAsia"/>
                <w:szCs w:val="24"/>
              </w:rPr>
              <w:t>即4.0</w:t>
            </w:r>
            <w:r>
              <w:rPr>
                <w:szCs w:val="24"/>
              </w:rPr>
              <w:t>mg/m</w:t>
            </w:r>
            <w:r>
              <w:rPr>
                <w:szCs w:val="24"/>
                <w:vertAlign w:val="superscript"/>
              </w:rPr>
              <w:t>3</w:t>
            </w:r>
            <w:r>
              <w:rPr>
                <w:rFonts w:hint="eastAsia"/>
                <w:szCs w:val="24"/>
                <w:lang w:eastAsia="zh-Hans"/>
              </w:rPr>
              <w:t>，</w:t>
            </w:r>
            <w:r>
              <w:rPr>
                <w:rFonts w:hint="eastAsia"/>
                <w:szCs w:val="24"/>
              </w:rPr>
              <w:t>同时</w:t>
            </w:r>
            <w:r>
              <w:rPr>
                <w:rFonts w:hint="eastAsia"/>
                <w:szCs w:val="24"/>
                <w:lang w:eastAsia="zh-Hans"/>
              </w:rPr>
              <w:t>也</w:t>
            </w:r>
            <w:r>
              <w:rPr>
                <w:rFonts w:hint="eastAsia"/>
                <w:szCs w:val="24"/>
              </w:rPr>
              <w:t>满足河南省环境污染防治攻坚战领导小组办公室文件（豫环攻坚办[2017] 162号）工业企业边界排放值：2.0</w:t>
            </w:r>
            <w:r>
              <w:rPr>
                <w:szCs w:val="24"/>
              </w:rPr>
              <w:t>mg/m</w:t>
            </w:r>
            <w:r>
              <w:rPr>
                <w:szCs w:val="24"/>
                <w:vertAlign w:val="superscript"/>
              </w:rPr>
              <w:t>3</w:t>
            </w:r>
            <w:r>
              <w:rPr>
                <w:rFonts w:hint="eastAsia"/>
                <w:szCs w:val="24"/>
              </w:rPr>
              <w:t>的要求。</w:t>
            </w:r>
          </w:p>
          <w:p>
            <w:pPr>
              <w:ind w:firstLine="480" w:firstLineChars="200"/>
              <w:textAlignment w:val="baseline"/>
              <w:rPr>
                <w:rFonts w:ascii="宋体" w:hAnsi="宋体"/>
                <w:b/>
                <w:szCs w:val="24"/>
              </w:rPr>
            </w:pPr>
            <w:r>
              <w:rPr>
                <w:rFonts w:hint="eastAsia"/>
                <w:color w:val="000000"/>
                <w:szCs w:val="24"/>
                <w:lang w:eastAsia="zh-Hans"/>
              </w:rPr>
              <w:t>油气回收口非甲烷总烃排放浓度为</w:t>
            </w:r>
            <w:r>
              <w:rPr>
                <w:color w:val="000000"/>
                <w:szCs w:val="24"/>
                <w:lang w:eastAsia="zh-Hans"/>
              </w:rPr>
              <w:t>8.</w:t>
            </w:r>
            <w:r>
              <w:rPr>
                <w:rFonts w:hint="eastAsia"/>
                <w:color w:val="000000"/>
                <w:szCs w:val="24"/>
                <w:lang w:val="en-US" w:eastAsia="zh-CN"/>
              </w:rPr>
              <w:t>75</w:t>
            </w:r>
            <w:r>
              <w:rPr>
                <w:color w:val="000000"/>
                <w:szCs w:val="24"/>
                <w:lang w:eastAsia="zh-Hans"/>
              </w:rPr>
              <w:t>-</w:t>
            </w:r>
            <w:r>
              <w:rPr>
                <w:rFonts w:hint="eastAsia"/>
                <w:color w:val="000000"/>
                <w:szCs w:val="24"/>
                <w:lang w:val="en-US" w:eastAsia="zh-CN"/>
              </w:rPr>
              <w:t>9.64</w:t>
            </w:r>
            <w:r>
              <w:rPr>
                <w:rFonts w:hint="eastAsia"/>
                <w:color w:val="000000"/>
                <w:szCs w:val="24"/>
                <w:lang w:eastAsia="zh-Hans"/>
              </w:rPr>
              <w:t>mg/m</w:t>
            </w:r>
            <w:r>
              <w:rPr>
                <w:rFonts w:hint="eastAsia"/>
                <w:color w:val="000000"/>
                <w:szCs w:val="24"/>
                <w:vertAlign w:val="superscript"/>
                <w:lang w:eastAsia="zh-Hans"/>
              </w:rPr>
              <w:t>3</w:t>
            </w:r>
            <w:r>
              <w:rPr>
                <w:rFonts w:hint="eastAsia"/>
                <w:color w:val="000000"/>
                <w:szCs w:val="24"/>
                <w:lang w:eastAsia="zh-Hans"/>
              </w:rPr>
              <w:t>，可以满足</w:t>
            </w:r>
            <w:r>
              <w:rPr>
                <w:szCs w:val="24"/>
              </w:rPr>
              <w:t>《加油站大气污染物排放标准》(GB20952-2007)油气排放浓度</w:t>
            </w:r>
            <w:r>
              <w:rPr>
                <w:rFonts w:hint="eastAsia"/>
                <w:szCs w:val="24"/>
              </w:rPr>
              <w:t>≦</w:t>
            </w:r>
            <w:r>
              <w:rPr>
                <w:szCs w:val="24"/>
              </w:rPr>
              <w:t>25g/m</w:t>
            </w:r>
            <w:r>
              <w:rPr>
                <w:szCs w:val="24"/>
                <w:vertAlign w:val="superscript"/>
              </w:rPr>
              <w:t>3</w:t>
            </w:r>
            <w:r>
              <w:rPr>
                <w:rFonts w:hint="eastAsia"/>
                <w:szCs w:val="24"/>
                <w:lang w:eastAsia="zh-Hans"/>
              </w:rPr>
              <w:t>排放要求。根据现场测量，油气回收排放口距地面高度为</w:t>
            </w:r>
            <w:r>
              <w:rPr>
                <w:szCs w:val="24"/>
                <w:lang w:eastAsia="zh-Hans"/>
              </w:rPr>
              <w:t>5</w:t>
            </w:r>
            <w:r>
              <w:rPr>
                <w:rFonts w:hint="eastAsia"/>
                <w:szCs w:val="24"/>
                <w:lang w:eastAsia="zh-Hans"/>
              </w:rPr>
              <w:t>m，满足不低于</w:t>
            </w:r>
            <w:r>
              <w:rPr>
                <w:szCs w:val="24"/>
                <w:lang w:eastAsia="zh-Hans"/>
              </w:rPr>
              <w:t>4</w:t>
            </w:r>
            <w:r>
              <w:rPr>
                <w:rFonts w:hint="eastAsia"/>
                <w:szCs w:val="24"/>
                <w:lang w:eastAsia="zh-Hans"/>
              </w:rPr>
              <w:t>m的高度要求。</w:t>
            </w:r>
          </w:p>
          <w:p>
            <w:pPr>
              <w:widowControl w:val="0"/>
              <w:ind w:firstLine="480"/>
              <w:jc w:val="both"/>
              <w:rPr>
                <w:rFonts w:ascii="宋体" w:hAnsi="宋体" w:cs="宋体"/>
                <w:kern w:val="2"/>
                <w:szCs w:val="24"/>
              </w:rPr>
            </w:pPr>
            <w:r>
              <w:rPr>
                <w:rFonts w:hint="eastAsia" w:ascii="宋体" w:hAnsi="宋体" w:cs="宋体"/>
                <w:kern w:val="2"/>
                <w:szCs w:val="24"/>
              </w:rPr>
              <w:t>（4）验收监测期间，本项目各厂界昼间噪声监测结果均符合《工业企业厂界环境噪声排放标准》（GB12348-2008）</w:t>
            </w:r>
            <w:r>
              <w:rPr>
                <w:rFonts w:hint="eastAsia" w:ascii="宋体" w:hAnsi="宋体" w:cs="宋体"/>
                <w:kern w:val="2"/>
                <w:szCs w:val="24"/>
                <w:lang w:val="en-US" w:eastAsia="zh-CN"/>
              </w:rPr>
              <w:t>1</w:t>
            </w:r>
            <w:r>
              <w:rPr>
                <w:rFonts w:hint="eastAsia" w:ascii="宋体" w:hAnsi="宋体" w:cs="宋体"/>
                <w:kern w:val="2"/>
                <w:szCs w:val="24"/>
              </w:rPr>
              <w:t>类标准限值要求。</w:t>
            </w:r>
          </w:p>
          <w:p>
            <w:pPr>
              <w:ind w:firstLine="482"/>
              <w:textAlignment w:val="baseline"/>
              <w:rPr>
                <w:rFonts w:hint="eastAsia" w:ascii="宋体" w:hAnsi="宋体" w:cs="宋体"/>
                <w:b/>
                <w:bCs/>
                <w:szCs w:val="24"/>
              </w:rPr>
            </w:pPr>
          </w:p>
          <w:p>
            <w:pPr>
              <w:ind w:firstLine="482"/>
              <w:textAlignment w:val="baseline"/>
              <w:rPr>
                <w:rFonts w:ascii="宋体" w:hAnsi="宋体" w:cs="宋体"/>
                <w:b/>
                <w:bCs/>
                <w:szCs w:val="24"/>
              </w:rPr>
            </w:pPr>
            <w:r>
              <w:rPr>
                <w:rFonts w:hint="eastAsia" w:ascii="宋体" w:hAnsi="宋体" w:cs="宋体"/>
                <w:b/>
                <w:bCs/>
                <w:szCs w:val="24"/>
              </w:rPr>
              <w:t>2、环境管理检查结论</w:t>
            </w:r>
          </w:p>
          <w:p>
            <w:pPr>
              <w:spacing w:line="520" w:lineRule="exact"/>
              <w:ind w:firstLine="480"/>
              <w:textAlignment w:val="baseline"/>
              <w:rPr>
                <w:rFonts w:hint="eastAsia" w:ascii="宋体" w:hAnsi="宋体" w:cs="宋体"/>
                <w:bCs/>
                <w:szCs w:val="24"/>
              </w:rPr>
            </w:pPr>
            <w:r>
              <w:rPr>
                <w:rFonts w:hint="eastAsia" w:ascii="宋体" w:hAnsi="宋体" w:cs="宋体"/>
                <w:bCs/>
                <w:szCs w:val="24"/>
              </w:rPr>
              <w:t>项目执行了环保“三同时”制度；按照有关规定建立了相关环境保护管理制度；由专人负责公司环境管理工作。</w:t>
            </w: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Pr>
              <w:rPr>
                <w:rFonts w:hint="eastAsia" w:ascii="宋体" w:hAnsi="宋体" w:cs="宋体"/>
                <w:bCs/>
                <w:szCs w:val="24"/>
              </w:rPr>
            </w:pPr>
          </w:p>
          <w:p>
            <w:pPr>
              <w:pStyle w:val="2"/>
              <w:rPr>
                <w:rFonts w:hint="eastAsia" w:ascii="宋体" w:hAnsi="宋体" w:cs="宋体"/>
                <w:bCs/>
                <w:szCs w:val="24"/>
              </w:rPr>
            </w:pPr>
          </w:p>
          <w:p/>
          <w:p>
            <w:pPr>
              <w:spacing w:before="100" w:beforeAutospacing="1" w:line="520" w:lineRule="exact"/>
              <w:textAlignment w:val="baseline"/>
              <w:rPr>
                <w:bCs/>
                <w:szCs w:val="24"/>
              </w:rPr>
            </w:pPr>
          </w:p>
        </w:tc>
      </w:tr>
    </w:tbl>
    <w:p>
      <w:pPr>
        <w:adjustRightInd/>
        <w:snapToGrid/>
        <w:ind w:firstLine="301"/>
        <w:rPr>
          <w:b/>
          <w:kern w:val="2"/>
          <w:sz w:val="15"/>
          <w:szCs w:val="15"/>
        </w:rPr>
        <w:sectPr>
          <w:pgSz w:w="11906" w:h="16838"/>
          <w:pgMar w:top="1440" w:right="1800" w:bottom="1440" w:left="1800" w:header="851" w:footer="992" w:gutter="0"/>
          <w:pgNumType w:fmt="decimal"/>
          <w:cols w:space="720" w:num="1"/>
          <w:docGrid w:type="lines" w:linePitch="312" w:charSpace="0"/>
        </w:sectPr>
      </w:pPr>
    </w:p>
    <w:p>
      <w:pPr>
        <w:spacing w:line="280" w:lineRule="exact"/>
        <w:jc w:val="center"/>
        <w:rPr>
          <w:rFonts w:ascii="微软雅黑" w:hAnsi="微软雅黑" w:eastAsia="微软雅黑" w:cs="Tahoma"/>
          <w:b/>
          <w:bCs/>
          <w:color w:val="000000"/>
          <w:szCs w:val="21"/>
        </w:rPr>
      </w:pPr>
      <w:r>
        <w:rPr>
          <w:rFonts w:hint="eastAsia" w:ascii="微软雅黑" w:hAnsi="微软雅黑" w:eastAsia="微软雅黑" w:cs="Tahoma"/>
          <w:b/>
          <w:bCs/>
          <w:color w:val="000000"/>
          <w:szCs w:val="21"/>
        </w:rPr>
        <w:t>建设项目工程竣工环境保护</w:t>
      </w:r>
      <w:r>
        <w:rPr>
          <w:rFonts w:ascii="Tahoma" w:hAnsi="Tahoma" w:eastAsia="微软雅黑" w:cs="Tahoma"/>
          <w:b/>
          <w:bCs/>
          <w:color w:val="000000"/>
          <w:szCs w:val="21"/>
        </w:rPr>
        <w:t>“</w:t>
      </w:r>
      <w:r>
        <w:rPr>
          <w:rFonts w:hint="eastAsia" w:ascii="微软雅黑" w:hAnsi="微软雅黑" w:eastAsia="微软雅黑" w:cs="Tahoma"/>
          <w:b/>
          <w:bCs/>
          <w:color w:val="000000"/>
          <w:szCs w:val="21"/>
        </w:rPr>
        <w:t>三同时</w:t>
      </w:r>
      <w:r>
        <w:rPr>
          <w:rFonts w:ascii="Tahoma" w:hAnsi="Tahoma" w:eastAsia="微软雅黑" w:cs="Tahoma"/>
          <w:b/>
          <w:bCs/>
          <w:color w:val="000000"/>
          <w:szCs w:val="21"/>
        </w:rPr>
        <w:t>”</w:t>
      </w:r>
      <w:r>
        <w:rPr>
          <w:rFonts w:hint="eastAsia" w:ascii="微软雅黑" w:hAnsi="微软雅黑" w:eastAsia="微软雅黑" w:cs="Tahoma"/>
          <w:b/>
          <w:bCs/>
          <w:color w:val="000000"/>
          <w:szCs w:val="21"/>
        </w:rPr>
        <w:t>验收登记表</w:t>
      </w:r>
    </w:p>
    <w:p>
      <w:pPr>
        <w:rPr>
          <w:rFonts w:ascii="宋体" w:hAnsi="宋体" w:cs="Tahoma"/>
          <w:color w:val="000000"/>
          <w:szCs w:val="21"/>
        </w:rPr>
      </w:pPr>
      <w:r>
        <w:rPr>
          <w:rFonts w:hint="eastAsia" w:ascii="宋体" w:hAnsi="宋体" w:cs="Tahoma"/>
          <w:color w:val="000000"/>
          <w:szCs w:val="21"/>
        </w:rPr>
        <w:t>填表单位（盖章）：新乡市公共交通集团有限责任公司</w:t>
      </w:r>
      <w:r>
        <w:rPr>
          <w:rFonts w:hint="eastAsia" w:ascii="宋体" w:hAnsi="宋体" w:cs="Tahoma"/>
          <w:color w:val="000000"/>
          <w:szCs w:val="21"/>
          <w:lang w:eastAsia="zh-CN"/>
        </w:rPr>
        <w:t>柳青路加油</w:t>
      </w:r>
      <w:r>
        <w:rPr>
          <w:rFonts w:hint="eastAsia" w:ascii="宋体" w:hAnsi="宋体" w:cs="Tahoma"/>
          <w:color w:val="000000"/>
          <w:szCs w:val="21"/>
        </w:rPr>
        <w:t>站      填表人（签字）：     项目经办人（签字）：</w:t>
      </w:r>
    </w:p>
    <w:tbl>
      <w:tblPr>
        <w:tblStyle w:val="15"/>
        <w:tblW w:w="52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2"/>
        <w:gridCol w:w="1897"/>
        <w:gridCol w:w="551"/>
        <w:gridCol w:w="790"/>
        <w:gridCol w:w="420"/>
        <w:gridCol w:w="579"/>
        <w:gridCol w:w="1402"/>
        <w:gridCol w:w="403"/>
        <w:gridCol w:w="586"/>
        <w:gridCol w:w="850"/>
        <w:gridCol w:w="1015"/>
        <w:gridCol w:w="1157"/>
        <w:gridCol w:w="838"/>
        <w:gridCol w:w="818"/>
        <w:gridCol w:w="1439"/>
        <w:gridCol w:w="454"/>
        <w:gridCol w:w="83"/>
        <w:gridCol w:w="450"/>
        <w:gridCol w:w="6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0" w:type="dxa"/>
            <w:vMerge w:val="restart"/>
            <w:tcBorders>
              <w:tl2br w:val="nil"/>
              <w:tr2bl w:val="nil"/>
            </w:tcBorders>
            <w:vAlign w:val="center"/>
          </w:tcPr>
          <w:p>
            <w:pPr>
              <w:spacing w:before="100" w:beforeAutospacing="1" w:line="240" w:lineRule="auto"/>
              <w:jc w:val="center"/>
              <w:rPr>
                <w:rFonts w:eastAsia="微软雅黑"/>
                <w:b/>
                <w:color w:val="000000"/>
                <w:kern w:val="2"/>
                <w:sz w:val="15"/>
                <w:szCs w:val="15"/>
                <w:highlight w:val="yellow"/>
              </w:rPr>
            </w:pPr>
            <w:r>
              <w:rPr>
                <w:rFonts w:eastAsia="微软雅黑"/>
                <w:b/>
                <w:color w:val="000000"/>
                <w:kern w:val="2"/>
                <w:sz w:val="15"/>
                <w:szCs w:val="15"/>
              </w:rPr>
              <w:t>建设项目</w:t>
            </w: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项目名称</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rPr>
            </w:pPr>
            <w:r>
              <w:rPr>
                <w:color w:val="000000"/>
                <w:kern w:val="2"/>
                <w:sz w:val="15"/>
                <w:szCs w:val="15"/>
              </w:rPr>
              <w:t>新乡市公共交通集团有限责任公司</w:t>
            </w:r>
            <w:r>
              <w:rPr>
                <w:rFonts w:hint="eastAsia"/>
                <w:color w:val="000000"/>
                <w:kern w:val="2"/>
                <w:sz w:val="15"/>
                <w:szCs w:val="15"/>
                <w:lang w:eastAsia="zh-CN"/>
              </w:rPr>
              <w:t>柳青路加油</w:t>
            </w:r>
            <w:r>
              <w:rPr>
                <w:color w:val="000000"/>
                <w:kern w:val="2"/>
                <w:sz w:val="15"/>
                <w:szCs w:val="15"/>
              </w:rPr>
              <w:t>站</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项目代码</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hint="default" w:eastAsia="微软雅黑"/>
                <w:b/>
                <w:color w:val="000000"/>
                <w:kern w:val="2"/>
                <w:sz w:val="15"/>
                <w:szCs w:val="15"/>
                <w:lang w:eastAsia="zh-CN"/>
              </w:rPr>
            </w:pPr>
            <w:r>
              <w:rPr>
                <w:rFonts w:hint="eastAsia" w:eastAsia="微软雅黑"/>
                <w:b w:val="0"/>
                <w:bCs/>
                <w:color w:val="000000"/>
                <w:kern w:val="2"/>
                <w:sz w:val="15"/>
                <w:szCs w:val="15"/>
                <w:lang w:val="en-US" w:eastAsia="zh-CN"/>
              </w:rPr>
              <w:t>豫新高新服务{2017}3549</w:t>
            </w:r>
            <w:r>
              <w:rPr>
                <w:rFonts w:hint="default" w:eastAsia="微软雅黑"/>
                <w:b w:val="0"/>
                <w:bCs/>
                <w:color w:val="000000"/>
                <w:kern w:val="2"/>
                <w:sz w:val="15"/>
                <w:szCs w:val="15"/>
                <w:lang w:eastAsia="zh-CN"/>
              </w:rPr>
              <w:t>2</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建设地点</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rFonts w:hint="eastAsia"/>
                <w:color w:val="000000"/>
                <w:kern w:val="2"/>
                <w:sz w:val="15"/>
                <w:szCs w:val="15"/>
              </w:rPr>
              <w:t>河南省新乡市高新区柳青路与新二街东南角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0"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行业类别（分类管理名录）</w:t>
            </w:r>
          </w:p>
        </w:tc>
        <w:tc>
          <w:tcPr>
            <w:tcW w:w="3723"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F5265</w:t>
            </w:r>
            <w:r>
              <w:rPr>
                <w:rFonts w:hint="eastAsia"/>
                <w:color w:val="000000"/>
                <w:kern w:val="2"/>
                <w:sz w:val="15"/>
                <w:szCs w:val="15"/>
                <w:lang w:eastAsia="zh-Hans"/>
              </w:rPr>
              <w:t>机动车燃油零售</w:t>
            </w:r>
          </w:p>
        </w:tc>
        <w:tc>
          <w:tcPr>
            <w:tcW w:w="1830"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建设性质</w:t>
            </w:r>
          </w:p>
        </w:tc>
        <w:tc>
          <w:tcPr>
            <w:tcW w:w="3810" w:type="dxa"/>
            <w:gridSpan w:val="4"/>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b/>
                <w:bCs/>
                <w:color w:val="000000"/>
                <w:sz w:val="15"/>
                <w:szCs w:val="15"/>
              </w:rPr>
              <w:t>√</w:t>
            </w:r>
            <w:r>
              <w:rPr>
                <w:rFonts w:eastAsia="微软雅黑"/>
                <w:b/>
                <w:color w:val="000000"/>
                <w:kern w:val="2"/>
                <w:sz w:val="15"/>
                <w:szCs w:val="15"/>
              </w:rPr>
              <w:t>新建（迁建） 改扩建   技术改造</w:t>
            </w:r>
          </w:p>
        </w:tc>
        <w:tc>
          <w:tcPr>
            <w:tcW w:w="188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项目厂区中心经度/纬度</w:t>
            </w:r>
          </w:p>
        </w:tc>
        <w:tc>
          <w:tcPr>
            <w:tcW w:w="1147" w:type="dxa"/>
            <w:gridSpan w:val="3"/>
            <w:tcBorders>
              <w:tl2br w:val="nil"/>
              <w:tr2bl w:val="nil"/>
            </w:tcBorders>
            <w:tcMar>
              <w:top w:w="0" w:type="dxa"/>
              <w:left w:w="57" w:type="dxa"/>
              <w:bottom w:w="0" w:type="dxa"/>
              <w:right w:w="57" w:type="dxa"/>
            </w:tcMar>
            <w:vAlign w:val="center"/>
          </w:tcPr>
          <w:p>
            <w:pPr>
              <w:spacing w:before="100" w:beforeAutospacing="1" w:line="240" w:lineRule="auto"/>
              <w:rPr>
                <w:rFonts w:eastAsia="微软雅黑"/>
                <w:color w:val="000000"/>
                <w:kern w:val="2"/>
                <w:sz w:val="15"/>
                <w:szCs w:val="15"/>
              </w:rPr>
            </w:pPr>
            <w:r>
              <w:rPr>
                <w:rFonts w:eastAsia="微软雅黑"/>
                <w:color w:val="000000"/>
                <w:kern w:val="2"/>
                <w:sz w:val="15"/>
                <w:szCs w:val="15"/>
              </w:rPr>
              <w:t>E113°</w:t>
            </w:r>
            <w:r>
              <w:rPr>
                <w:rFonts w:hint="eastAsia" w:eastAsia="微软雅黑"/>
                <w:color w:val="000000"/>
                <w:kern w:val="2"/>
                <w:sz w:val="15"/>
                <w:szCs w:val="15"/>
                <w:lang w:val="en-US" w:eastAsia="zh-CN"/>
              </w:rPr>
              <w:t>55</w:t>
            </w:r>
            <w:r>
              <w:rPr>
                <w:rFonts w:eastAsia="微软雅黑"/>
                <w:color w:val="000000"/>
                <w:kern w:val="2"/>
                <w:sz w:val="15"/>
                <w:szCs w:val="15"/>
              </w:rPr>
              <w:t>´</w:t>
            </w:r>
            <w:r>
              <w:rPr>
                <w:rFonts w:hint="eastAsia" w:eastAsia="微软雅黑"/>
                <w:color w:val="000000"/>
                <w:kern w:val="2"/>
                <w:sz w:val="15"/>
                <w:szCs w:val="15"/>
                <w:lang w:val="en-US" w:eastAsia="zh-CN"/>
              </w:rPr>
              <w:t>5.6</w:t>
            </w:r>
            <w:r>
              <w:rPr>
                <w:rFonts w:eastAsia="微软雅黑"/>
                <w:color w:val="000000"/>
                <w:kern w:val="2"/>
                <w:sz w:val="15"/>
                <w:szCs w:val="15"/>
              </w:rPr>
              <w:t>6˝</w:t>
            </w:r>
          </w:p>
          <w:p>
            <w:pPr>
              <w:spacing w:line="240" w:lineRule="auto"/>
              <w:rPr>
                <w:rFonts w:eastAsia="微软雅黑"/>
                <w:color w:val="000000"/>
                <w:kern w:val="2"/>
                <w:sz w:val="15"/>
                <w:szCs w:val="15"/>
                <w:highlight w:val="yellow"/>
              </w:rPr>
            </w:pPr>
            <w:r>
              <w:rPr>
                <w:rFonts w:eastAsia="微软雅黑"/>
                <w:color w:val="000000"/>
                <w:kern w:val="2"/>
                <w:sz w:val="15"/>
                <w:szCs w:val="15"/>
              </w:rPr>
              <w:t>N 35°1</w:t>
            </w:r>
            <w:r>
              <w:rPr>
                <w:rFonts w:hint="eastAsia" w:eastAsia="微软雅黑"/>
                <w:color w:val="000000"/>
                <w:kern w:val="2"/>
                <w:sz w:val="15"/>
                <w:szCs w:val="15"/>
                <w:lang w:val="en-US" w:eastAsia="zh-CN"/>
              </w:rPr>
              <w:t>5</w:t>
            </w:r>
            <w:r>
              <w:rPr>
                <w:rFonts w:eastAsia="微软雅黑"/>
                <w:color w:val="000000"/>
                <w:kern w:val="2"/>
                <w:sz w:val="15"/>
                <w:szCs w:val="15"/>
              </w:rPr>
              <w:t>´</w:t>
            </w:r>
            <w:r>
              <w:rPr>
                <w:rFonts w:hint="eastAsia" w:eastAsia="微软雅黑"/>
                <w:color w:val="000000"/>
                <w:kern w:val="2"/>
                <w:sz w:val="15"/>
                <w:szCs w:val="15"/>
                <w:lang w:val="en-US" w:eastAsia="zh-CN"/>
              </w:rPr>
              <w:t>14.26</w:t>
            </w:r>
            <w:r>
              <w:rPr>
                <w:rFonts w:eastAsia="微软雅黑"/>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设计生产能力</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rPr>
            </w:pPr>
            <w:r>
              <w:rPr>
                <w:color w:val="000000"/>
                <w:kern w:val="2"/>
                <w:sz w:val="15"/>
                <w:szCs w:val="15"/>
              </w:rPr>
              <w:t>年加L-CNG气1000万方、柴油</w:t>
            </w:r>
            <w:r>
              <w:rPr>
                <w:rFonts w:hint="default"/>
                <w:color w:val="000000"/>
                <w:kern w:val="2"/>
                <w:sz w:val="15"/>
                <w:szCs w:val="15"/>
              </w:rPr>
              <w:t>5</w:t>
            </w:r>
            <w:r>
              <w:rPr>
                <w:color w:val="000000"/>
                <w:kern w:val="2"/>
                <w:sz w:val="15"/>
                <w:szCs w:val="15"/>
              </w:rPr>
              <w:t>00吨、汽油</w:t>
            </w:r>
            <w:r>
              <w:rPr>
                <w:rFonts w:hint="default"/>
                <w:color w:val="000000"/>
                <w:kern w:val="2"/>
                <w:sz w:val="15"/>
                <w:szCs w:val="15"/>
              </w:rPr>
              <w:t>20</w:t>
            </w:r>
            <w:r>
              <w:rPr>
                <w:color w:val="000000"/>
                <w:kern w:val="2"/>
                <w:sz w:val="15"/>
                <w:szCs w:val="15"/>
              </w:rPr>
              <w:t>00吨</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实际生产能力</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rFonts w:hint="eastAsia"/>
                <w:color w:val="000000"/>
                <w:kern w:val="2"/>
                <w:sz w:val="15"/>
                <w:szCs w:val="15"/>
                <w:lang w:val="en-US" w:eastAsia="zh-Hans"/>
              </w:rPr>
              <w:t>年加</w:t>
            </w:r>
            <w:r>
              <w:rPr>
                <w:color w:val="000000"/>
                <w:kern w:val="2"/>
                <w:sz w:val="15"/>
                <w:szCs w:val="15"/>
              </w:rPr>
              <w:t>汽油</w:t>
            </w:r>
            <w:r>
              <w:rPr>
                <w:rFonts w:hint="default"/>
                <w:color w:val="000000"/>
                <w:kern w:val="2"/>
                <w:sz w:val="15"/>
                <w:szCs w:val="15"/>
              </w:rPr>
              <w:t>20</w:t>
            </w:r>
            <w:r>
              <w:rPr>
                <w:color w:val="000000"/>
                <w:kern w:val="2"/>
                <w:sz w:val="15"/>
                <w:szCs w:val="15"/>
              </w:rPr>
              <w:t>00吨</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环评单位</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color w:val="000000"/>
                <w:kern w:val="2"/>
                <w:sz w:val="15"/>
                <w:szCs w:val="15"/>
              </w:rPr>
              <w:t>济源蓝天科技有限责任公司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环评文件审批机关</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新乡高新技术产业开发区管理委员会综合监管和执法局</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审批文号</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rFonts w:hint="eastAsia"/>
                <w:color w:val="000000"/>
                <w:kern w:val="2"/>
                <w:sz w:val="15"/>
                <w:szCs w:val="15"/>
              </w:rPr>
              <w:t>新高综监字</w:t>
            </w:r>
            <w:r>
              <w:rPr>
                <w:rFonts w:hint="eastAsia"/>
                <w:color w:val="000000"/>
                <w:kern w:val="2"/>
                <w:sz w:val="15"/>
                <w:szCs w:val="15"/>
                <w:lang w:eastAsia="zh-Hans"/>
              </w:rPr>
              <w:t>（20</w:t>
            </w:r>
            <w:r>
              <w:rPr>
                <w:rFonts w:hint="eastAsia"/>
                <w:color w:val="000000"/>
                <w:kern w:val="2"/>
                <w:sz w:val="15"/>
                <w:szCs w:val="15"/>
              </w:rPr>
              <w:t>18</w:t>
            </w:r>
            <w:r>
              <w:rPr>
                <w:rFonts w:hint="eastAsia"/>
                <w:color w:val="000000"/>
                <w:kern w:val="2"/>
                <w:sz w:val="15"/>
                <w:szCs w:val="15"/>
                <w:lang w:eastAsia="zh-Hans"/>
              </w:rPr>
              <w:t>）</w:t>
            </w:r>
            <w:r>
              <w:rPr>
                <w:rFonts w:hint="eastAsia"/>
                <w:color w:val="000000"/>
                <w:kern w:val="2"/>
                <w:sz w:val="15"/>
                <w:szCs w:val="15"/>
              </w:rPr>
              <w:t>0</w:t>
            </w:r>
            <w:r>
              <w:rPr>
                <w:rFonts w:hint="eastAsia"/>
                <w:color w:val="000000"/>
                <w:kern w:val="2"/>
                <w:sz w:val="15"/>
                <w:szCs w:val="15"/>
                <w:lang w:val="en-US" w:eastAsia="zh-CN"/>
              </w:rPr>
              <w:t>1</w:t>
            </w:r>
            <w:r>
              <w:rPr>
                <w:rFonts w:hint="eastAsia"/>
                <w:color w:val="000000"/>
                <w:kern w:val="2"/>
                <w:sz w:val="15"/>
                <w:szCs w:val="15"/>
                <w:lang w:eastAsia="zh-Hans"/>
              </w:rPr>
              <w:t>号</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环评文件类型</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color w:val="000000"/>
                <w:kern w:val="2"/>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开工日期</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2022.1</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竣工日期</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color w:val="000000"/>
                <w:kern w:val="2"/>
                <w:sz w:val="15"/>
                <w:szCs w:val="15"/>
              </w:rPr>
              <w:t>2022.6.25</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排污许可证申领时间</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rFonts w:hint="default"/>
                <w:color w:val="000000"/>
                <w:kern w:val="2"/>
                <w:sz w:val="15"/>
                <w:szCs w:val="15"/>
              </w:rPr>
            </w:pPr>
            <w:r>
              <w:rPr>
                <w:color w:val="000000"/>
                <w:kern w:val="2"/>
                <w:sz w:val="15"/>
                <w:szCs w:val="15"/>
              </w:rPr>
              <w:t>2022.</w:t>
            </w:r>
            <w:r>
              <w:rPr>
                <w:rFonts w:hint="default"/>
                <w:color w:val="000000"/>
                <w:kern w:val="2"/>
                <w:sz w:val="15"/>
                <w:szCs w:val="15"/>
              </w:rPr>
              <w:t>8</w:t>
            </w:r>
            <w:r>
              <w:rPr>
                <w:color w:val="000000"/>
                <w:kern w:val="2"/>
                <w:sz w:val="15"/>
                <w:szCs w:val="15"/>
              </w:rPr>
              <w:t>.</w:t>
            </w:r>
            <w:r>
              <w:rPr>
                <w:rFonts w:hint="default"/>
                <w:color w:val="000000"/>
                <w:kern w:val="2"/>
                <w:sz w:val="15"/>
                <w:szCs w:val="15"/>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bCs/>
                <w:color w:val="000000"/>
                <w:sz w:val="15"/>
                <w:szCs w:val="15"/>
              </w:rPr>
            </w:pPr>
            <w:r>
              <w:rPr>
                <w:rFonts w:eastAsia="微软雅黑"/>
                <w:b/>
                <w:bCs/>
                <w:color w:val="000000"/>
                <w:sz w:val="15"/>
                <w:szCs w:val="15"/>
              </w:rPr>
              <w:t>环保设施设计单位</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新乡市公共交通集团有限责任公司</w:t>
            </w:r>
            <w:r>
              <w:rPr>
                <w:rFonts w:hint="eastAsia"/>
                <w:color w:val="000000"/>
                <w:kern w:val="2"/>
                <w:sz w:val="15"/>
                <w:szCs w:val="15"/>
                <w:lang w:eastAsia="zh-CN"/>
              </w:rPr>
              <w:t>柳青路加油</w:t>
            </w:r>
            <w:r>
              <w:rPr>
                <w:color w:val="000000"/>
                <w:kern w:val="2"/>
                <w:sz w:val="15"/>
                <w:szCs w:val="15"/>
                <w:lang w:eastAsia="zh-Hans"/>
              </w:rPr>
              <w:t>站</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sz w:val="15"/>
                <w:szCs w:val="15"/>
              </w:rPr>
            </w:pPr>
            <w:r>
              <w:rPr>
                <w:rFonts w:eastAsia="微软雅黑"/>
                <w:b/>
                <w:color w:val="000000"/>
                <w:sz w:val="15"/>
                <w:szCs w:val="15"/>
              </w:rPr>
              <w:t>环保设施施工单位</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color w:val="000000"/>
                <w:kern w:val="2"/>
                <w:sz w:val="15"/>
                <w:szCs w:val="15"/>
              </w:rPr>
              <w:t>新乡市公共交通集团有限责任公司</w:t>
            </w:r>
            <w:r>
              <w:rPr>
                <w:rFonts w:hint="eastAsia"/>
                <w:color w:val="000000"/>
                <w:kern w:val="2"/>
                <w:sz w:val="15"/>
                <w:szCs w:val="15"/>
                <w:lang w:eastAsia="zh-CN"/>
              </w:rPr>
              <w:t>柳青路加油</w:t>
            </w:r>
            <w:r>
              <w:rPr>
                <w:color w:val="000000"/>
                <w:kern w:val="2"/>
                <w:sz w:val="15"/>
                <w:szCs w:val="15"/>
              </w:rPr>
              <w:t>站</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本工程排污许可证编号</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rFonts w:hint="eastAsia"/>
                <w:color w:val="000000"/>
                <w:kern w:val="2"/>
                <w:sz w:val="15"/>
                <w:szCs w:val="15"/>
              </w:rPr>
              <w:t>91410700MA9LK9UC5E001Q</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验收单位</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新乡市公共交通集团有限责任公司</w:t>
            </w:r>
            <w:r>
              <w:rPr>
                <w:rFonts w:hint="eastAsia"/>
                <w:color w:val="000000"/>
                <w:kern w:val="2"/>
                <w:sz w:val="15"/>
                <w:szCs w:val="15"/>
                <w:lang w:eastAsia="zh-CN"/>
              </w:rPr>
              <w:t>柳青路加油</w:t>
            </w:r>
            <w:r>
              <w:rPr>
                <w:color w:val="000000"/>
                <w:kern w:val="2"/>
                <w:sz w:val="15"/>
                <w:szCs w:val="15"/>
                <w:lang w:eastAsia="zh-Hans"/>
              </w:rPr>
              <w:t>站</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环保设施检测单位</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color w:val="000000"/>
                <w:kern w:val="2"/>
                <w:sz w:val="15"/>
                <w:szCs w:val="15"/>
              </w:rPr>
              <w:t>河南</w:t>
            </w:r>
            <w:r>
              <w:rPr>
                <w:rFonts w:hint="eastAsia"/>
                <w:color w:val="000000"/>
                <w:kern w:val="2"/>
                <w:sz w:val="15"/>
                <w:szCs w:val="15"/>
              </w:rPr>
              <w:t>永飞检测科技</w:t>
            </w:r>
            <w:r>
              <w:rPr>
                <w:color w:val="000000"/>
                <w:kern w:val="2"/>
                <w:sz w:val="15"/>
                <w:szCs w:val="15"/>
              </w:rPr>
              <w:t>有限公司</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验收检测时工况</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highlight w:val="yellow"/>
              </w:rPr>
            </w:pPr>
            <w:r>
              <w:rPr>
                <w:rFonts w:hint="eastAsia"/>
                <w:color w:val="000000"/>
                <w:kern w:val="2"/>
                <w:sz w:val="15"/>
                <w:szCs w:val="15"/>
                <w:lang w:eastAsia="zh-Hans"/>
              </w:rPr>
              <w:t>≥</w:t>
            </w:r>
            <w:r>
              <w:rPr>
                <w:color w:val="000000"/>
                <w:kern w:val="2"/>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投资总概算（万元）</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600</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环保投资总概算(万元)</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color w:val="000000"/>
                <w:kern w:val="2"/>
                <w:sz w:val="15"/>
                <w:szCs w:val="15"/>
              </w:rPr>
              <w:t>20</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所占比例（%）</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color w:val="000000"/>
                <w:kern w:val="2"/>
                <w:sz w:val="15"/>
                <w:szCs w:val="15"/>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实际总投资（万元）</w:t>
            </w:r>
          </w:p>
        </w:tc>
        <w:tc>
          <w:tcPr>
            <w:tcW w:w="3723" w:type="dxa"/>
            <w:gridSpan w:val="5"/>
            <w:tcBorders>
              <w:tl2br w:val="nil"/>
              <w:tr2bl w:val="nil"/>
            </w:tcBorders>
            <w:vAlign w:val="center"/>
          </w:tcPr>
          <w:p>
            <w:pPr>
              <w:spacing w:before="100" w:beforeAutospacing="1" w:line="240" w:lineRule="auto"/>
              <w:jc w:val="center"/>
              <w:rPr>
                <w:color w:val="000000"/>
                <w:kern w:val="2"/>
                <w:sz w:val="15"/>
                <w:szCs w:val="15"/>
                <w:lang w:eastAsia="zh-Hans"/>
              </w:rPr>
            </w:pPr>
            <w:r>
              <w:rPr>
                <w:color w:val="000000"/>
                <w:kern w:val="2"/>
                <w:sz w:val="15"/>
                <w:szCs w:val="15"/>
                <w:lang w:eastAsia="zh-Hans"/>
              </w:rPr>
              <w:t xml:space="preserve">600 </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实际环保投资(万元)</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color w:val="000000"/>
                <w:kern w:val="2"/>
                <w:sz w:val="15"/>
                <w:szCs w:val="15"/>
              </w:rPr>
              <w:t>20</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所占比例（%）</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color w:val="000000"/>
                <w:kern w:val="2"/>
                <w:sz w:val="15"/>
                <w:szCs w:val="15"/>
              </w:rPr>
            </w:pPr>
            <w:r>
              <w:rPr>
                <w:color w:val="000000"/>
                <w:kern w:val="2"/>
                <w:sz w:val="15"/>
                <w:szCs w:val="15"/>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废水治理（万元）</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color w:val="000000"/>
                <w:kern w:val="2"/>
                <w:sz w:val="15"/>
                <w:szCs w:val="15"/>
              </w:rPr>
              <w:t>2</w:t>
            </w:r>
          </w:p>
        </w:tc>
        <w:tc>
          <w:tcPr>
            <w:tcW w:w="120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废气治理（万元）</w:t>
            </w:r>
          </w:p>
        </w:tc>
        <w:tc>
          <w:tcPr>
            <w:tcW w:w="576" w:type="dxa"/>
            <w:tcBorders>
              <w:tl2br w:val="nil"/>
              <w:tr2bl w:val="nil"/>
            </w:tcBorders>
            <w:vAlign w:val="center"/>
          </w:tcPr>
          <w:p>
            <w:pPr>
              <w:spacing w:before="100" w:beforeAutospacing="1" w:line="240" w:lineRule="auto"/>
              <w:jc w:val="center"/>
              <w:rPr>
                <w:rFonts w:eastAsia="微软雅黑"/>
                <w:color w:val="000000"/>
                <w:kern w:val="2"/>
                <w:sz w:val="15"/>
                <w:szCs w:val="15"/>
              </w:rPr>
            </w:pPr>
            <w:r>
              <w:rPr>
                <w:color w:val="000000"/>
                <w:kern w:val="2"/>
                <w:sz w:val="15"/>
                <w:szCs w:val="15"/>
              </w:rPr>
              <w:t>8</w:t>
            </w:r>
          </w:p>
        </w:tc>
        <w:tc>
          <w:tcPr>
            <w:tcW w:w="1395"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噪声治理（万元）</w:t>
            </w:r>
          </w:p>
        </w:tc>
        <w:tc>
          <w:tcPr>
            <w:tcW w:w="401"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5</w:t>
            </w:r>
          </w:p>
        </w:tc>
        <w:tc>
          <w:tcPr>
            <w:tcW w:w="1429"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固体废物治理(万元)</w:t>
            </w:r>
          </w:p>
        </w:tc>
        <w:tc>
          <w:tcPr>
            <w:tcW w:w="2162" w:type="dxa"/>
            <w:gridSpan w:val="2"/>
            <w:tcBorders>
              <w:tl2br w:val="nil"/>
              <w:tr2bl w:val="nil"/>
            </w:tcBorders>
            <w:vAlign w:val="center"/>
          </w:tcPr>
          <w:p>
            <w:pPr>
              <w:spacing w:before="100" w:beforeAutospacing="1" w:line="240" w:lineRule="auto"/>
              <w:jc w:val="center"/>
              <w:rPr>
                <w:b/>
                <w:color w:val="000000"/>
                <w:kern w:val="2"/>
                <w:sz w:val="15"/>
                <w:szCs w:val="15"/>
              </w:rPr>
            </w:pPr>
            <w:r>
              <w:rPr>
                <w:b/>
                <w:color w:val="000000"/>
                <w:kern w:val="2"/>
                <w:sz w:val="15"/>
                <w:szCs w:val="15"/>
              </w:rPr>
              <w:t>5</w:t>
            </w:r>
          </w:p>
        </w:tc>
        <w:tc>
          <w:tcPr>
            <w:tcW w:w="1648"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绿化及生态（万元）</w:t>
            </w:r>
          </w:p>
        </w:tc>
        <w:tc>
          <w:tcPr>
            <w:tcW w:w="1432" w:type="dxa"/>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0</w:t>
            </w:r>
          </w:p>
        </w:tc>
        <w:tc>
          <w:tcPr>
            <w:tcW w:w="983"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其他（万元）</w:t>
            </w:r>
          </w:p>
        </w:tc>
        <w:tc>
          <w:tcPr>
            <w:tcW w:w="616" w:type="dxa"/>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Cs/>
                <w:color w:val="000000"/>
                <w:kern w:val="2"/>
                <w:sz w:val="15"/>
                <w:szCs w:val="15"/>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kern w:val="2"/>
                <w:sz w:val="15"/>
                <w:szCs w:val="15"/>
                <w:highlight w:val="yellow"/>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新增废水处理设施能力</w:t>
            </w:r>
          </w:p>
        </w:tc>
        <w:tc>
          <w:tcPr>
            <w:tcW w:w="3723" w:type="dxa"/>
            <w:gridSpan w:val="5"/>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830" w:type="dxa"/>
            <w:gridSpan w:val="3"/>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新增废气处理设施能力</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color w:val="000000"/>
                <w:kern w:val="2"/>
                <w:sz w:val="15"/>
                <w:szCs w:val="15"/>
              </w:rPr>
            </w:pPr>
            <w:r>
              <w:rPr>
                <w:b/>
                <w:bCs/>
                <w:color w:val="000000"/>
                <w:sz w:val="15"/>
                <w:szCs w:val="15"/>
              </w:rPr>
              <w:t>/</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年平均工作时间</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Cs/>
                <w:color w:val="000000"/>
                <w:kern w:val="2"/>
                <w:sz w:val="15"/>
                <w:szCs w:val="15"/>
              </w:rPr>
              <w:t>2</w:t>
            </w:r>
            <w:r>
              <w:rPr>
                <w:rFonts w:hint="eastAsia" w:eastAsia="微软雅黑"/>
                <w:bCs/>
                <w:color w:val="000000"/>
                <w:kern w:val="2"/>
                <w:sz w:val="15"/>
                <w:szCs w:val="15"/>
                <w:lang w:val="en-US" w:eastAsia="zh-CN"/>
              </w:rPr>
              <w:t>920</w:t>
            </w:r>
            <w:r>
              <w:rPr>
                <w:rFonts w:eastAsia="微软雅黑"/>
                <w:bCs/>
                <w:color w:val="000000"/>
                <w:kern w:val="2"/>
                <w:sz w:val="15"/>
                <w:szCs w:val="15"/>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2318"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运营单位</w:t>
            </w:r>
          </w:p>
        </w:tc>
        <w:tc>
          <w:tcPr>
            <w:tcW w:w="2328" w:type="dxa"/>
            <w:gridSpan w:val="4"/>
            <w:tcBorders>
              <w:tl2br w:val="nil"/>
              <w:tr2bl w:val="nil"/>
            </w:tcBorders>
            <w:vAlign w:val="center"/>
          </w:tcPr>
          <w:p>
            <w:pPr>
              <w:spacing w:before="100" w:beforeAutospacing="1" w:line="240" w:lineRule="auto"/>
              <w:jc w:val="center"/>
              <w:rPr>
                <w:b/>
                <w:color w:val="000000"/>
                <w:kern w:val="2"/>
                <w:sz w:val="15"/>
                <w:szCs w:val="15"/>
              </w:rPr>
            </w:pPr>
            <w:r>
              <w:rPr>
                <w:color w:val="000000"/>
                <w:kern w:val="2"/>
                <w:sz w:val="15"/>
                <w:szCs w:val="15"/>
              </w:rPr>
              <w:t>新乡市公共交通集团有限责任公司</w:t>
            </w:r>
            <w:r>
              <w:rPr>
                <w:rFonts w:hint="eastAsia"/>
                <w:color w:val="000000"/>
                <w:kern w:val="2"/>
                <w:sz w:val="15"/>
                <w:szCs w:val="15"/>
                <w:lang w:eastAsia="zh-CN"/>
              </w:rPr>
              <w:t>柳青路加油</w:t>
            </w:r>
            <w:r>
              <w:rPr>
                <w:color w:val="000000"/>
                <w:kern w:val="2"/>
                <w:sz w:val="15"/>
                <w:szCs w:val="15"/>
              </w:rPr>
              <w:t>站</w:t>
            </w:r>
          </w:p>
        </w:tc>
        <w:tc>
          <w:tcPr>
            <w:tcW w:w="3225" w:type="dxa"/>
            <w:gridSpan w:val="4"/>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运营单位社会统一信用代码（或组织机构代码）</w:t>
            </w:r>
          </w:p>
        </w:tc>
        <w:tc>
          <w:tcPr>
            <w:tcW w:w="2162"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color w:val="000000"/>
                <w:kern w:val="2"/>
                <w:sz w:val="15"/>
                <w:szCs w:val="15"/>
                <w:highlight w:val="yellow"/>
              </w:rPr>
            </w:pPr>
            <w:r>
              <w:rPr>
                <w:rFonts w:hint="eastAsia" w:ascii="Times New Roman" w:hAnsi="Times New Roman" w:eastAsia="宋体" w:cs="Times New Roman"/>
                <w:color w:val="000000"/>
                <w:kern w:val="2"/>
                <w:sz w:val="15"/>
                <w:szCs w:val="15"/>
              </w:rPr>
              <w:t>91410700MA9LK9UC5E</w:t>
            </w:r>
          </w:p>
        </w:tc>
        <w:tc>
          <w:tcPr>
            <w:tcW w:w="1648"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验收时间</w:t>
            </w:r>
          </w:p>
        </w:tc>
        <w:tc>
          <w:tcPr>
            <w:tcW w:w="3031" w:type="dxa"/>
            <w:gridSpan w:val="5"/>
            <w:tcBorders>
              <w:tl2br w:val="nil"/>
              <w:tr2bl w:val="nil"/>
            </w:tcBorders>
            <w:tcMar>
              <w:top w:w="0" w:type="dxa"/>
              <w:left w:w="57" w:type="dxa"/>
              <w:bottom w:w="0" w:type="dxa"/>
              <w:right w:w="57" w:type="dxa"/>
            </w:tcMar>
            <w:vAlign w:val="center"/>
          </w:tcPr>
          <w:p>
            <w:pPr>
              <w:spacing w:before="100" w:beforeAutospacing="1" w:line="240" w:lineRule="auto"/>
              <w:jc w:val="center"/>
              <w:rPr>
                <w:b/>
                <w:color w:val="000000"/>
                <w:kern w:val="2"/>
                <w:sz w:val="15"/>
                <w:szCs w:val="15"/>
              </w:rPr>
            </w:pPr>
            <w:r>
              <w:rPr>
                <w:color w:val="000000"/>
                <w:kern w:val="2"/>
                <w:sz w:val="15"/>
                <w:szCs w:val="15"/>
                <w:lang w:eastAsia="zh-Hans"/>
              </w:rPr>
              <w:t>2022年</w:t>
            </w:r>
            <w:bookmarkStart w:id="3" w:name="_GoBack"/>
            <w:r>
              <w:rPr>
                <w:rFonts w:hint="default"/>
                <w:color w:val="000000"/>
                <w:kern w:val="2"/>
                <w:sz w:val="15"/>
                <w:szCs w:val="15"/>
                <w:lang w:eastAsia="zh-Hans"/>
              </w:rPr>
              <w:t>9</w:t>
            </w:r>
            <w:bookmarkEnd w:id="3"/>
            <w:r>
              <w:rPr>
                <w:color w:val="000000"/>
                <w:kern w:val="2"/>
                <w:sz w:val="15"/>
                <w:szCs w:val="15"/>
                <w:lang w:eastAsia="zh-Hans"/>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49" w:hRule="atLeast"/>
          <w:jc w:val="center"/>
        </w:trPr>
        <w:tc>
          <w:tcPr>
            <w:tcW w:w="430" w:type="dxa"/>
            <w:vMerge w:val="restart"/>
            <w:tcBorders>
              <w:tl2br w:val="nil"/>
              <w:tr2bl w:val="nil"/>
            </w:tcBorders>
            <w:vAlign w:val="center"/>
          </w:tcPr>
          <w:p>
            <w:pPr>
              <w:pStyle w:val="35"/>
              <w:rPr>
                <w:rFonts w:eastAsia="微软雅黑"/>
                <w:b/>
                <w:kern w:val="2"/>
                <w:sz w:val="15"/>
                <w:szCs w:val="15"/>
              </w:rPr>
            </w:pPr>
            <w:r>
              <w:rPr>
                <w:rFonts w:eastAsia="微软雅黑"/>
                <w:b/>
                <w:kern w:val="2"/>
                <w:sz w:val="15"/>
                <w:szCs w:val="15"/>
              </w:rPr>
              <w:t>污染</w:t>
            </w:r>
          </w:p>
          <w:p>
            <w:pPr>
              <w:pStyle w:val="35"/>
              <w:rPr>
                <w:rFonts w:eastAsia="微软雅黑"/>
                <w:b/>
                <w:kern w:val="2"/>
                <w:sz w:val="15"/>
                <w:szCs w:val="15"/>
              </w:rPr>
            </w:pPr>
            <w:r>
              <w:rPr>
                <w:rFonts w:eastAsia="微软雅黑"/>
                <w:b/>
                <w:kern w:val="2"/>
                <w:sz w:val="15"/>
                <w:szCs w:val="15"/>
              </w:rPr>
              <w:t>物排</w:t>
            </w:r>
          </w:p>
          <w:p>
            <w:pPr>
              <w:pStyle w:val="35"/>
              <w:rPr>
                <w:rFonts w:eastAsia="微软雅黑"/>
                <w:b/>
                <w:kern w:val="2"/>
                <w:sz w:val="15"/>
                <w:szCs w:val="15"/>
              </w:rPr>
            </w:pPr>
            <w:r>
              <w:rPr>
                <w:rFonts w:eastAsia="微软雅黑"/>
                <w:b/>
                <w:kern w:val="2"/>
                <w:sz w:val="15"/>
                <w:szCs w:val="15"/>
              </w:rPr>
              <w:t>放达</w:t>
            </w:r>
          </w:p>
          <w:p>
            <w:pPr>
              <w:pStyle w:val="35"/>
              <w:rPr>
                <w:rFonts w:eastAsia="微软雅黑"/>
                <w:b/>
                <w:kern w:val="2"/>
                <w:sz w:val="15"/>
                <w:szCs w:val="15"/>
              </w:rPr>
            </w:pPr>
            <w:r>
              <w:rPr>
                <w:rFonts w:eastAsia="微软雅黑"/>
                <w:b/>
                <w:kern w:val="2"/>
                <w:sz w:val="15"/>
                <w:szCs w:val="15"/>
              </w:rPr>
              <w:t>标与</w:t>
            </w:r>
          </w:p>
          <w:p>
            <w:pPr>
              <w:pStyle w:val="35"/>
              <w:rPr>
                <w:rFonts w:eastAsia="微软雅黑"/>
                <w:b/>
                <w:kern w:val="2"/>
                <w:sz w:val="15"/>
                <w:szCs w:val="15"/>
              </w:rPr>
            </w:pPr>
            <w:r>
              <w:rPr>
                <w:rFonts w:eastAsia="微软雅黑"/>
                <w:b/>
                <w:kern w:val="2"/>
                <w:sz w:val="15"/>
                <w:szCs w:val="15"/>
              </w:rPr>
              <w:t>总量</w:t>
            </w:r>
          </w:p>
          <w:p>
            <w:pPr>
              <w:pStyle w:val="35"/>
              <w:rPr>
                <w:rFonts w:eastAsia="微软雅黑"/>
                <w:b/>
                <w:kern w:val="2"/>
                <w:sz w:val="15"/>
                <w:szCs w:val="15"/>
              </w:rPr>
            </w:pPr>
            <w:r>
              <w:rPr>
                <w:rFonts w:eastAsia="微软雅黑"/>
                <w:b/>
                <w:kern w:val="2"/>
                <w:sz w:val="15"/>
                <w:szCs w:val="15"/>
              </w:rPr>
              <w:t>控制（工</w:t>
            </w:r>
          </w:p>
          <w:p>
            <w:pPr>
              <w:pStyle w:val="35"/>
              <w:rPr>
                <w:rFonts w:eastAsia="微软雅黑"/>
                <w:b/>
                <w:kern w:val="2"/>
                <w:sz w:val="15"/>
                <w:szCs w:val="15"/>
              </w:rPr>
            </w:pPr>
            <w:r>
              <w:rPr>
                <w:rFonts w:eastAsia="微软雅黑"/>
                <w:b/>
                <w:kern w:val="2"/>
                <w:sz w:val="15"/>
                <w:szCs w:val="15"/>
              </w:rPr>
              <w:t>业建</w:t>
            </w:r>
          </w:p>
          <w:p>
            <w:pPr>
              <w:pStyle w:val="35"/>
              <w:rPr>
                <w:rFonts w:eastAsia="微软雅黑"/>
                <w:b/>
                <w:kern w:val="2"/>
                <w:sz w:val="15"/>
                <w:szCs w:val="15"/>
              </w:rPr>
            </w:pPr>
            <w:r>
              <w:rPr>
                <w:rFonts w:eastAsia="微软雅黑"/>
                <w:b/>
                <w:kern w:val="2"/>
                <w:sz w:val="15"/>
                <w:szCs w:val="15"/>
              </w:rPr>
              <w:t>设项</w:t>
            </w:r>
          </w:p>
          <w:p>
            <w:pPr>
              <w:pStyle w:val="35"/>
              <w:rPr>
                <w:rFonts w:eastAsia="微软雅黑"/>
                <w:b/>
                <w:spacing w:val="20"/>
                <w:kern w:val="2"/>
                <w:szCs w:val="15"/>
              </w:rPr>
            </w:pPr>
            <w:r>
              <w:rPr>
                <w:rFonts w:eastAsia="微软雅黑"/>
                <w:b/>
                <w:kern w:val="2"/>
                <w:sz w:val="15"/>
                <w:szCs w:val="15"/>
              </w:rPr>
              <w:t>目详填)</w:t>
            </w: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污染物</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原有排</w:t>
            </w:r>
          </w:p>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放量(1)</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本期工程实际排放浓度(2)</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本期工程允许排放浓度(3)</w:t>
            </w:r>
          </w:p>
        </w:tc>
        <w:tc>
          <w:tcPr>
            <w:tcW w:w="1395"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本期工程产生量(4)</w:t>
            </w:r>
          </w:p>
        </w:tc>
        <w:tc>
          <w:tcPr>
            <w:tcW w:w="98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本期工程自身削减量(5)</w:t>
            </w:r>
          </w:p>
        </w:tc>
        <w:tc>
          <w:tcPr>
            <w:tcW w:w="84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本期工程实际排放量(6)</w:t>
            </w:r>
          </w:p>
        </w:tc>
        <w:tc>
          <w:tcPr>
            <w:tcW w:w="1010"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本期工程核定排放总量(7)</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本期工程“以新带老”削减量(8)</w:t>
            </w:r>
          </w:p>
        </w:tc>
        <w:tc>
          <w:tcPr>
            <w:tcW w:w="834"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全厂实际排放总量(9)</w:t>
            </w:r>
          </w:p>
        </w:tc>
        <w:tc>
          <w:tcPr>
            <w:tcW w:w="814"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全厂核定排放总量(10)</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区域平衡替代削减量(11)</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废水</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化学需氧量</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氨氮</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石油类</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废气</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二氧化硫</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工业粉尘</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氮氧化物</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1" w:hRule="atLeast"/>
          <w:jc w:val="center"/>
        </w:trPr>
        <w:tc>
          <w:tcPr>
            <w:tcW w:w="430" w:type="dxa"/>
            <w:vMerge w:val="continue"/>
            <w:tcBorders>
              <w:tl2br w:val="nil"/>
              <w:tr2bl w:val="nil"/>
            </w:tcBorders>
            <w:vAlign w:val="center"/>
          </w:tcPr>
          <w:p>
            <w:pPr>
              <w:adjustRightInd/>
              <w:snapToGrid/>
              <w:spacing w:line="240" w:lineRule="auto"/>
              <w:rPr>
                <w:rFonts w:eastAsia="微软雅黑"/>
                <w:b/>
                <w:color w:val="000000"/>
                <w:spacing w:val="20"/>
                <w:kern w:val="2"/>
                <w:sz w:val="15"/>
                <w:szCs w:val="15"/>
              </w:rPr>
            </w:pPr>
          </w:p>
        </w:tc>
        <w:tc>
          <w:tcPr>
            <w:tcW w:w="1888" w:type="dxa"/>
            <w:tcBorders>
              <w:tl2br w:val="nil"/>
              <w:tr2bl w:val="nil"/>
            </w:tcBorders>
            <w:vAlign w:val="center"/>
          </w:tcPr>
          <w:p>
            <w:pPr>
              <w:spacing w:before="100" w:beforeAutospacing="1" w:line="240" w:lineRule="auto"/>
              <w:jc w:val="center"/>
              <w:rPr>
                <w:rFonts w:hint="eastAsia" w:eastAsia="宋体"/>
                <w:b/>
                <w:color w:val="000000"/>
                <w:spacing w:val="-6"/>
                <w:kern w:val="2"/>
                <w:sz w:val="15"/>
                <w:szCs w:val="15"/>
                <w:lang w:val="en-US" w:eastAsia="zh-CN"/>
              </w:rPr>
            </w:pPr>
            <w:r>
              <w:rPr>
                <w:rFonts w:hint="eastAsia" w:eastAsia="微软雅黑"/>
                <w:b/>
                <w:color w:val="000000"/>
                <w:kern w:val="2"/>
                <w:sz w:val="15"/>
                <w:szCs w:val="15"/>
                <w:lang w:val="en-US" w:eastAsia="zh-CN"/>
              </w:rPr>
              <w:t>非甲烷总烃</w:t>
            </w:r>
          </w:p>
        </w:tc>
        <w:tc>
          <w:tcPr>
            <w:tcW w:w="548"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786" w:type="dxa"/>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994" w:type="dxa"/>
            <w:gridSpan w:val="2"/>
            <w:tcBorders>
              <w:tl2br w:val="nil"/>
              <w:tr2bl w:val="nil"/>
            </w:tcBorders>
            <w:vAlign w:val="center"/>
          </w:tcPr>
          <w:p>
            <w:pPr>
              <w:spacing w:before="100" w:beforeAutospacing="1" w:line="240" w:lineRule="auto"/>
              <w:jc w:val="center"/>
              <w:rPr>
                <w:rFonts w:eastAsia="微软雅黑"/>
                <w:b/>
                <w:color w:val="000000"/>
                <w:kern w:val="2"/>
                <w:sz w:val="15"/>
                <w:szCs w:val="15"/>
              </w:rPr>
            </w:pPr>
            <w:r>
              <w:rPr>
                <w:rFonts w:eastAsia="微软雅黑"/>
                <w:b/>
                <w:color w:val="000000"/>
                <w:kern w:val="2"/>
                <w:sz w:val="15"/>
                <w:szCs w:val="15"/>
              </w:rPr>
              <w:t>/</w:t>
            </w:r>
          </w:p>
        </w:tc>
        <w:tc>
          <w:tcPr>
            <w:tcW w:w="1395"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984" w:type="dxa"/>
            <w:gridSpan w:val="2"/>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46"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10"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152"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3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814" w:type="dxa"/>
            <w:tcBorders>
              <w:tl2br w:val="nil"/>
              <w:tr2bl w:val="nil"/>
            </w:tcBorders>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967" w:type="dxa"/>
            <w:gridSpan w:val="3"/>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c>
          <w:tcPr>
            <w:tcW w:w="1064" w:type="dxa"/>
            <w:gridSpan w:val="2"/>
            <w:tcBorders>
              <w:tl2br w:val="nil"/>
              <w:tr2bl w:val="nil"/>
            </w:tcBorders>
            <w:tcMar>
              <w:top w:w="0" w:type="dxa"/>
              <w:left w:w="57" w:type="dxa"/>
              <w:bottom w:w="0" w:type="dxa"/>
              <w:right w:w="57" w:type="dxa"/>
            </w:tcMar>
            <w:vAlign w:val="center"/>
          </w:tcPr>
          <w:p>
            <w:pPr>
              <w:spacing w:before="100" w:beforeAutospacing="1" w:line="240" w:lineRule="auto"/>
              <w:jc w:val="center"/>
              <w:rPr>
                <w:b/>
                <w:bCs/>
                <w:color w:val="000000"/>
                <w:sz w:val="15"/>
                <w:szCs w:val="15"/>
              </w:rPr>
            </w:pPr>
            <w:r>
              <w:rPr>
                <w:rFonts w:eastAsia="微软雅黑"/>
                <w:b/>
                <w:color w:val="000000"/>
                <w:kern w:val="2"/>
                <w:sz w:val="15"/>
                <w:szCs w:val="15"/>
              </w:rPr>
              <w:t>/</w:t>
            </w:r>
          </w:p>
        </w:tc>
      </w:tr>
    </w:tbl>
    <w:p>
      <w:pPr>
        <w:adjustRightInd/>
        <w:snapToGrid/>
        <w:rPr>
          <w:b/>
          <w:bCs/>
          <w:color w:val="000000"/>
          <w:szCs w:val="21"/>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Times New Roman Regular">
    <w:altName w:val="Times New Roman"/>
    <w:panose1 w:val="020206030504050203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27558"/>
    <w:multiLevelType w:val="singleLevel"/>
    <w:tmpl w:val="0412755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3ZmIwYmRkOGQ0MzM0NWI3MzFmNTQ4YmY0YmM2MDkifQ=="/>
  </w:docVars>
  <w:rsids>
    <w:rsidRoot w:val="00384AD6"/>
    <w:rsid w:val="00063FCB"/>
    <w:rsid w:val="00137ED1"/>
    <w:rsid w:val="0016033B"/>
    <w:rsid w:val="00163D35"/>
    <w:rsid w:val="00196CEC"/>
    <w:rsid w:val="001B58F5"/>
    <w:rsid w:val="001D4BF3"/>
    <w:rsid w:val="002425BC"/>
    <w:rsid w:val="002D1135"/>
    <w:rsid w:val="002E7747"/>
    <w:rsid w:val="003132C1"/>
    <w:rsid w:val="00320E53"/>
    <w:rsid w:val="0033054C"/>
    <w:rsid w:val="00336D3B"/>
    <w:rsid w:val="00384AD6"/>
    <w:rsid w:val="00393F96"/>
    <w:rsid w:val="003A31D7"/>
    <w:rsid w:val="003F2244"/>
    <w:rsid w:val="004472BF"/>
    <w:rsid w:val="0046280D"/>
    <w:rsid w:val="004969DD"/>
    <w:rsid w:val="00533B41"/>
    <w:rsid w:val="005A7842"/>
    <w:rsid w:val="00604D44"/>
    <w:rsid w:val="006B06BE"/>
    <w:rsid w:val="006C20F0"/>
    <w:rsid w:val="006C3BA6"/>
    <w:rsid w:val="006F02FC"/>
    <w:rsid w:val="00726471"/>
    <w:rsid w:val="00743C04"/>
    <w:rsid w:val="00760C02"/>
    <w:rsid w:val="007C75F9"/>
    <w:rsid w:val="00860D53"/>
    <w:rsid w:val="00862F62"/>
    <w:rsid w:val="00903BB6"/>
    <w:rsid w:val="009420A0"/>
    <w:rsid w:val="00946146"/>
    <w:rsid w:val="00965903"/>
    <w:rsid w:val="009670B3"/>
    <w:rsid w:val="00986967"/>
    <w:rsid w:val="009F387C"/>
    <w:rsid w:val="00A07C13"/>
    <w:rsid w:val="00A1188F"/>
    <w:rsid w:val="00AD65DE"/>
    <w:rsid w:val="00AF74E6"/>
    <w:rsid w:val="00B44190"/>
    <w:rsid w:val="00B45CDD"/>
    <w:rsid w:val="00BA1C0D"/>
    <w:rsid w:val="00BD0F5D"/>
    <w:rsid w:val="00BF2579"/>
    <w:rsid w:val="00C573DD"/>
    <w:rsid w:val="00C9120E"/>
    <w:rsid w:val="00CD7D72"/>
    <w:rsid w:val="00D96379"/>
    <w:rsid w:val="00E101A3"/>
    <w:rsid w:val="00F35F3C"/>
    <w:rsid w:val="00F564AD"/>
    <w:rsid w:val="00F761BE"/>
    <w:rsid w:val="00FA7DAF"/>
    <w:rsid w:val="05CA0385"/>
    <w:rsid w:val="06DA4BFF"/>
    <w:rsid w:val="0A7A259D"/>
    <w:rsid w:val="0DFC3FD6"/>
    <w:rsid w:val="13DB5E35"/>
    <w:rsid w:val="14437D7F"/>
    <w:rsid w:val="1B7F3F42"/>
    <w:rsid w:val="1BC007FC"/>
    <w:rsid w:val="1BC92601"/>
    <w:rsid w:val="20212F48"/>
    <w:rsid w:val="25824B12"/>
    <w:rsid w:val="26621115"/>
    <w:rsid w:val="2B7B31CD"/>
    <w:rsid w:val="2C732F62"/>
    <w:rsid w:val="34215959"/>
    <w:rsid w:val="35B6B063"/>
    <w:rsid w:val="35DA3F7F"/>
    <w:rsid w:val="36D314FB"/>
    <w:rsid w:val="36D66EFC"/>
    <w:rsid w:val="38D921E9"/>
    <w:rsid w:val="3B255741"/>
    <w:rsid w:val="3DFFEC43"/>
    <w:rsid w:val="424F296B"/>
    <w:rsid w:val="42E423AC"/>
    <w:rsid w:val="433A275B"/>
    <w:rsid w:val="441C1420"/>
    <w:rsid w:val="47CA56A6"/>
    <w:rsid w:val="486605B2"/>
    <w:rsid w:val="49973D1A"/>
    <w:rsid w:val="4C120BC2"/>
    <w:rsid w:val="4C431ECB"/>
    <w:rsid w:val="4C9662F9"/>
    <w:rsid w:val="4F457478"/>
    <w:rsid w:val="52037733"/>
    <w:rsid w:val="53F81E9B"/>
    <w:rsid w:val="56462CE4"/>
    <w:rsid w:val="57AE0B41"/>
    <w:rsid w:val="5AAD5B0E"/>
    <w:rsid w:val="5E794ABA"/>
    <w:rsid w:val="60AC7F43"/>
    <w:rsid w:val="65A66D70"/>
    <w:rsid w:val="66621563"/>
    <w:rsid w:val="6BEFF960"/>
    <w:rsid w:val="6E9E325F"/>
    <w:rsid w:val="6F0C258D"/>
    <w:rsid w:val="6F814935"/>
    <w:rsid w:val="72A27E3D"/>
    <w:rsid w:val="79D42231"/>
    <w:rsid w:val="7AABDF88"/>
    <w:rsid w:val="7C452E57"/>
    <w:rsid w:val="7F365D0D"/>
    <w:rsid w:val="7FEFF8BD"/>
    <w:rsid w:val="9FFF4307"/>
    <w:rsid w:val="A5FEFFF6"/>
    <w:rsid w:val="DF8376A7"/>
    <w:rsid w:val="F3F7B14F"/>
    <w:rsid w:val="FBE3CE56"/>
    <w:rsid w:val="FCFFF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460" w:lineRule="exact"/>
    </w:pPr>
    <w:rPr>
      <w:rFonts w:ascii="Times New Roman" w:hAnsi="Times New Roman" w:eastAsia="宋体" w:cs="Times New Roman"/>
      <w:sz w:val="24"/>
      <w:szCs w:val="22"/>
      <w:lang w:val="en-US" w:eastAsia="zh-CN" w:bidi="ar-SA"/>
    </w:rPr>
  </w:style>
  <w:style w:type="paragraph" w:styleId="4">
    <w:name w:val="heading 1"/>
    <w:basedOn w:val="1"/>
    <w:next w:val="1"/>
    <w:link w:val="26"/>
    <w:qFormat/>
    <w:uiPriority w:val="9"/>
    <w:pPr>
      <w:keepNext/>
      <w:keepLines/>
      <w:spacing w:before="340" w:after="330" w:line="578" w:lineRule="atLeast"/>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widowControl w:val="0"/>
      <w:tabs>
        <w:tab w:val="left" w:pos="7200"/>
      </w:tabs>
      <w:snapToGrid/>
      <w:spacing w:after="120" w:line="360" w:lineRule="auto"/>
      <w:ind w:firstLine="420" w:firstLineChars="100"/>
    </w:pPr>
    <w:rPr>
      <w:kern w:val="2"/>
      <w:sz w:val="24"/>
      <w:szCs w:val="22"/>
    </w:rPr>
  </w:style>
  <w:style w:type="paragraph" w:styleId="3">
    <w:name w:val="Body Text"/>
    <w:basedOn w:val="1"/>
    <w:next w:val="1"/>
    <w:qFormat/>
    <w:uiPriority w:val="0"/>
    <w:pPr>
      <w:spacing w:line="480" w:lineRule="auto"/>
      <w:jc w:val="center"/>
    </w:pPr>
    <w:rPr>
      <w:sz w:val="28"/>
      <w:szCs w:val="20"/>
    </w:rPr>
  </w:style>
  <w:style w:type="paragraph" w:styleId="5">
    <w:name w:val="List 3"/>
    <w:basedOn w:val="1"/>
    <w:next w:val="1"/>
    <w:qFormat/>
    <w:uiPriority w:val="0"/>
    <w:pPr>
      <w:tabs>
        <w:tab w:val="left" w:pos="425"/>
      </w:tabs>
      <w:spacing w:line="480" w:lineRule="exact"/>
      <w:ind w:left="100" w:leftChars="400" w:hanging="200" w:firstLineChars="200"/>
    </w:pPr>
    <w:rPr>
      <w:sz w:val="24"/>
    </w:rPr>
  </w:style>
  <w:style w:type="paragraph" w:styleId="6">
    <w:name w:val="annotation text"/>
    <w:basedOn w:val="1"/>
    <w:link w:val="44"/>
    <w:qFormat/>
    <w:uiPriority w:val="0"/>
  </w:style>
  <w:style w:type="paragraph" w:styleId="7">
    <w:name w:val="Body Text Indent"/>
    <w:basedOn w:val="1"/>
    <w:next w:val="3"/>
    <w:qFormat/>
    <w:uiPriority w:val="0"/>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3"/>
    <w:semiHidden/>
    <w:unhideWhenUsed/>
    <w:qFormat/>
    <w:uiPriority w:val="99"/>
    <w:rPr>
      <w:sz w:val="18"/>
      <w:szCs w:val="18"/>
    </w:rPr>
  </w:style>
  <w:style w:type="paragraph" w:styleId="10">
    <w:name w:val="footer"/>
    <w:basedOn w:val="1"/>
    <w:link w:val="43"/>
    <w:qFormat/>
    <w:uiPriority w:val="99"/>
    <w:pPr>
      <w:tabs>
        <w:tab w:val="center" w:pos="4153"/>
        <w:tab w:val="right" w:pos="8306"/>
      </w:tabs>
      <w:spacing w:line="240" w:lineRule="atLeast"/>
    </w:pPr>
    <w:rPr>
      <w:sz w:val="18"/>
      <w:szCs w:val="18"/>
    </w:rPr>
  </w:style>
  <w:style w:type="paragraph" w:styleId="11">
    <w:name w:val="header"/>
    <w:basedOn w:val="1"/>
    <w:link w:val="42"/>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2">
    <w:name w:val="Normal (Web)"/>
    <w:basedOn w:val="1"/>
    <w:semiHidden/>
    <w:unhideWhenUsed/>
    <w:qFormat/>
    <w:uiPriority w:val="99"/>
  </w:style>
  <w:style w:type="paragraph" w:styleId="13">
    <w:name w:val="annotation subject"/>
    <w:basedOn w:val="6"/>
    <w:next w:val="6"/>
    <w:link w:val="45"/>
    <w:semiHidden/>
    <w:unhideWhenUsed/>
    <w:qFormat/>
    <w:uiPriority w:val="99"/>
    <w:rPr>
      <w:b/>
      <w:bCs/>
    </w:rPr>
  </w:style>
  <w:style w:type="paragraph" w:styleId="14">
    <w:name w:val="Body Text First Indent 2"/>
    <w:basedOn w:val="7"/>
    <w:next w:val="1"/>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annotation reference"/>
    <w:qFormat/>
    <w:uiPriority w:val="0"/>
    <w:rPr>
      <w:sz w:val="21"/>
      <w:szCs w:val="21"/>
    </w:rPr>
  </w:style>
  <w:style w:type="paragraph" w:customStyle="1" w:styleId="19">
    <w:name w:val="封面"/>
    <w:basedOn w:val="1"/>
    <w:link w:val="21"/>
    <w:qFormat/>
    <w:uiPriority w:val="0"/>
    <w:pPr>
      <w:spacing w:line="360" w:lineRule="auto"/>
      <w:jc w:val="center"/>
    </w:pPr>
    <w:rPr>
      <w:rFonts w:eastAsia="华文新魏"/>
      <w:b/>
      <w:sz w:val="44"/>
      <w:szCs w:val="44"/>
    </w:rPr>
  </w:style>
  <w:style w:type="paragraph" w:customStyle="1" w:styleId="20">
    <w:name w:val="大封面"/>
    <w:basedOn w:val="1"/>
    <w:next w:val="1"/>
    <w:link w:val="22"/>
    <w:qFormat/>
    <w:uiPriority w:val="0"/>
    <w:pPr>
      <w:spacing w:line="360" w:lineRule="auto"/>
      <w:jc w:val="center"/>
    </w:pPr>
    <w:rPr>
      <w:rFonts w:eastAsia="华文新魏"/>
      <w:sz w:val="36"/>
    </w:rPr>
  </w:style>
  <w:style w:type="character" w:customStyle="1" w:styleId="21">
    <w:name w:val="封面 Char"/>
    <w:basedOn w:val="17"/>
    <w:link w:val="19"/>
    <w:qFormat/>
    <w:uiPriority w:val="0"/>
    <w:rPr>
      <w:rFonts w:ascii="Times New Roman" w:hAnsi="Times New Roman" w:eastAsia="华文新魏" w:cs="Times New Roman"/>
      <w:b/>
      <w:kern w:val="0"/>
      <w:sz w:val="44"/>
      <w:szCs w:val="44"/>
    </w:rPr>
  </w:style>
  <w:style w:type="character" w:customStyle="1" w:styleId="22">
    <w:name w:val="大封面 Char"/>
    <w:basedOn w:val="17"/>
    <w:link w:val="20"/>
    <w:qFormat/>
    <w:uiPriority w:val="0"/>
    <w:rPr>
      <w:rFonts w:ascii="Times New Roman" w:hAnsi="Times New Roman" w:eastAsia="华文新魏" w:cs="Times New Roman"/>
      <w:kern w:val="0"/>
      <w:sz w:val="36"/>
    </w:rPr>
  </w:style>
  <w:style w:type="character" w:customStyle="1" w:styleId="23">
    <w:name w:val="批注框文本 字符"/>
    <w:basedOn w:val="17"/>
    <w:link w:val="9"/>
    <w:semiHidden/>
    <w:qFormat/>
    <w:uiPriority w:val="99"/>
    <w:rPr>
      <w:rFonts w:ascii="Tahoma" w:hAnsi="Tahoma" w:eastAsia="微软雅黑" w:cs="Times New Roman"/>
      <w:kern w:val="0"/>
      <w:sz w:val="18"/>
      <w:szCs w:val="18"/>
    </w:rPr>
  </w:style>
  <w:style w:type="paragraph" w:customStyle="1" w:styleId="24">
    <w:name w:val="表格大段文字"/>
    <w:basedOn w:val="25"/>
    <w:link w:val="30"/>
    <w:qFormat/>
    <w:uiPriority w:val="0"/>
    <w:pPr>
      <w:ind w:firstLine="0" w:firstLineChars="0"/>
    </w:pPr>
  </w:style>
  <w:style w:type="paragraph" w:customStyle="1" w:styleId="25">
    <w:name w:val="表格正文缩进2"/>
    <w:basedOn w:val="1"/>
    <w:link w:val="29"/>
    <w:qFormat/>
    <w:uiPriority w:val="0"/>
    <w:pPr>
      <w:widowControl w:val="0"/>
      <w:adjustRightInd/>
      <w:snapToGrid/>
      <w:ind w:firstLine="200" w:firstLineChars="200"/>
    </w:pPr>
    <w:rPr>
      <w:kern w:val="2"/>
      <w:szCs w:val="21"/>
    </w:rPr>
  </w:style>
  <w:style w:type="character" w:customStyle="1" w:styleId="26">
    <w:name w:val="标题 1 字符"/>
    <w:basedOn w:val="17"/>
    <w:link w:val="4"/>
    <w:qFormat/>
    <w:uiPriority w:val="9"/>
    <w:rPr>
      <w:rFonts w:ascii="Times New Roman" w:hAnsi="Times New Roman" w:eastAsia="宋体" w:cs="Times New Roman"/>
      <w:b/>
      <w:bCs/>
      <w:kern w:val="44"/>
      <w:sz w:val="44"/>
      <w:szCs w:val="44"/>
    </w:rPr>
  </w:style>
  <w:style w:type="paragraph" w:customStyle="1" w:styleId="27">
    <w:name w:val="正文1"/>
    <w:basedOn w:val="1"/>
    <w:qFormat/>
    <w:uiPriority w:val="0"/>
    <w:pPr>
      <w:widowControl w:val="0"/>
      <w:adjustRightInd/>
      <w:snapToGrid/>
      <w:spacing w:before="100" w:beforeAutospacing="1" w:line="240" w:lineRule="auto"/>
      <w:ind w:firstLine="552"/>
      <w:jc w:val="both"/>
    </w:pPr>
    <w:rPr>
      <w:rFonts w:ascii="楷体_GB2312"/>
      <w:b/>
      <w:kern w:val="2"/>
      <w:sz w:val="28"/>
      <w:szCs w:val="28"/>
    </w:rPr>
  </w:style>
  <w:style w:type="paragraph" w:customStyle="1" w:styleId="28">
    <w:name w:val="表格内容"/>
    <w:basedOn w:val="1"/>
    <w:qFormat/>
    <w:uiPriority w:val="0"/>
    <w:pPr>
      <w:widowControl w:val="0"/>
      <w:adjustRightInd/>
      <w:spacing w:before="100" w:beforeAutospacing="1" w:line="240" w:lineRule="auto"/>
      <w:jc w:val="center"/>
      <w:textAlignment w:val="baseline"/>
    </w:pPr>
    <w:rPr>
      <w:kern w:val="2"/>
      <w:szCs w:val="21"/>
    </w:rPr>
  </w:style>
  <w:style w:type="character" w:customStyle="1" w:styleId="29">
    <w:name w:val="表格正文缩进2 Char"/>
    <w:basedOn w:val="17"/>
    <w:link w:val="25"/>
    <w:qFormat/>
    <w:uiPriority w:val="0"/>
    <w:rPr>
      <w:rFonts w:ascii="Times New Roman" w:hAnsi="Times New Roman" w:eastAsia="宋体" w:cs="Times New Roman"/>
      <w:sz w:val="24"/>
      <w:szCs w:val="21"/>
    </w:rPr>
  </w:style>
  <w:style w:type="character" w:customStyle="1" w:styleId="30">
    <w:name w:val="表格大段文字 Char"/>
    <w:basedOn w:val="29"/>
    <w:link w:val="24"/>
    <w:qFormat/>
    <w:uiPriority w:val="0"/>
    <w:rPr>
      <w:rFonts w:ascii="Times New Roman" w:hAnsi="Times New Roman" w:eastAsia="宋体" w:cs="Times New Roman"/>
      <w:sz w:val="24"/>
      <w:szCs w:val="21"/>
    </w:rPr>
  </w:style>
  <w:style w:type="paragraph" w:customStyle="1" w:styleId="31">
    <w:name w:val="大标题"/>
    <w:basedOn w:val="1"/>
    <w:link w:val="33"/>
    <w:qFormat/>
    <w:uiPriority w:val="0"/>
    <w:pPr>
      <w:ind w:firstLine="480"/>
    </w:pPr>
    <w:rPr>
      <w:rFonts w:ascii="黑体" w:hAnsi="黑体" w:eastAsia="黑体"/>
      <w:szCs w:val="24"/>
    </w:rPr>
  </w:style>
  <w:style w:type="paragraph" w:customStyle="1" w:styleId="32">
    <w:name w:val="表名"/>
    <w:basedOn w:val="1"/>
    <w:link w:val="34"/>
    <w:qFormat/>
    <w:uiPriority w:val="0"/>
    <w:pPr>
      <w:ind w:firstLine="560" w:firstLineChars="200"/>
    </w:pPr>
    <w:rPr>
      <w:rFonts w:eastAsia="黑体" w:cs="宋体"/>
      <w:szCs w:val="21"/>
    </w:rPr>
  </w:style>
  <w:style w:type="character" w:customStyle="1" w:styleId="33">
    <w:name w:val="大标题 Char"/>
    <w:basedOn w:val="17"/>
    <w:link w:val="31"/>
    <w:qFormat/>
    <w:uiPriority w:val="0"/>
    <w:rPr>
      <w:rFonts w:ascii="黑体" w:hAnsi="黑体" w:eastAsia="黑体" w:cs="Times New Roman"/>
      <w:kern w:val="0"/>
      <w:szCs w:val="24"/>
    </w:rPr>
  </w:style>
  <w:style w:type="character" w:customStyle="1" w:styleId="34">
    <w:name w:val="表头 Char"/>
    <w:basedOn w:val="17"/>
    <w:link w:val="32"/>
    <w:qFormat/>
    <w:uiPriority w:val="0"/>
    <w:rPr>
      <w:rFonts w:ascii="Times New Roman" w:hAnsi="Times New Roman" w:eastAsia="黑体" w:cs="宋体"/>
      <w:kern w:val="0"/>
      <w:sz w:val="24"/>
      <w:szCs w:val="21"/>
    </w:rPr>
  </w:style>
  <w:style w:type="paragraph" w:customStyle="1" w:styleId="35">
    <w:name w:val="小表格正文"/>
    <w:basedOn w:val="1"/>
    <w:qFormat/>
    <w:uiPriority w:val="0"/>
    <w:pPr>
      <w:spacing w:line="240" w:lineRule="auto"/>
      <w:jc w:val="center"/>
    </w:pPr>
    <w:rPr>
      <w:color w:val="000000"/>
      <w:szCs w:val="21"/>
    </w:rPr>
  </w:style>
  <w:style w:type="paragraph" w:customStyle="1" w:styleId="36">
    <w:name w:val="鸿达表格文字"/>
    <w:basedOn w:val="1"/>
    <w:qFormat/>
    <w:uiPriority w:val="0"/>
    <w:pPr>
      <w:widowControl w:val="0"/>
      <w:adjustRightInd/>
      <w:snapToGrid/>
      <w:contextualSpacing/>
      <w:jc w:val="center"/>
      <w:textAlignment w:val="baseline"/>
    </w:pPr>
    <w:rPr>
      <w:szCs w:val="21"/>
    </w:rPr>
  </w:style>
  <w:style w:type="paragraph" w:customStyle="1" w:styleId="37">
    <w:name w:val="Table Paragraph"/>
    <w:basedOn w:val="1"/>
    <w:qFormat/>
    <w:uiPriority w:val="1"/>
    <w:pPr>
      <w:widowControl w:val="0"/>
      <w:autoSpaceDE w:val="0"/>
      <w:autoSpaceDN w:val="0"/>
      <w:adjustRightInd/>
      <w:snapToGrid/>
      <w:jc w:val="center"/>
    </w:pPr>
    <w:rPr>
      <w:rFonts w:eastAsia="Times New Roman"/>
      <w:lang w:val="zh-CN" w:bidi="zh-CN"/>
    </w:rPr>
  </w:style>
  <w:style w:type="paragraph" w:customStyle="1" w:styleId="38">
    <w:name w:val="段落"/>
    <w:basedOn w:val="8"/>
    <w:qFormat/>
    <w:uiPriority w:val="0"/>
    <w:pPr>
      <w:widowControl w:val="0"/>
      <w:adjustRightInd/>
      <w:snapToGrid/>
      <w:spacing w:line="500" w:lineRule="exact"/>
      <w:ind w:firstLine="578"/>
      <w:jc w:val="both"/>
    </w:pPr>
    <w:rPr>
      <w:rFonts w:cs="Times New Roman"/>
      <w:kern w:val="2"/>
      <w:sz w:val="28"/>
      <w:szCs w:val="20"/>
    </w:rPr>
  </w:style>
  <w:style w:type="paragraph" w:customStyle="1" w:styleId="39">
    <w:name w:val="Default"/>
    <w:basedOn w:val="40"/>
    <w:next w:val="5"/>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40">
    <w:name w:val="纯文本1"/>
    <w:qFormat/>
    <w:uiPriority w:val="0"/>
    <w:pPr>
      <w:widowControl w:val="0"/>
      <w:adjustRightInd w:val="0"/>
      <w:spacing w:line="520" w:lineRule="atLeast"/>
      <w:ind w:firstLine="547" w:firstLineChars="200"/>
    </w:pPr>
    <w:rPr>
      <w:rFonts w:ascii="宋体" w:hAnsi="Courier New" w:eastAsia="宋体" w:cs="Times New Roman"/>
      <w:kern w:val="2"/>
      <w:sz w:val="24"/>
      <w:szCs w:val="22"/>
      <w:lang w:val="en-US" w:eastAsia="zh-CN" w:bidi="ar-SA"/>
    </w:rPr>
  </w:style>
  <w:style w:type="paragraph" w:customStyle="1" w:styleId="41">
    <w:name w:val="验收表格正文"/>
    <w:basedOn w:val="1"/>
    <w:qFormat/>
    <w:uiPriority w:val="0"/>
    <w:pPr>
      <w:widowControl w:val="0"/>
      <w:adjustRightInd/>
      <w:snapToGrid/>
      <w:jc w:val="center"/>
    </w:pPr>
    <w:rPr>
      <w:kern w:val="2"/>
      <w:szCs w:val="20"/>
    </w:rPr>
  </w:style>
  <w:style w:type="character" w:customStyle="1" w:styleId="42">
    <w:name w:val="页眉 字符"/>
    <w:basedOn w:val="17"/>
    <w:link w:val="11"/>
    <w:qFormat/>
    <w:uiPriority w:val="99"/>
    <w:rPr>
      <w:rFonts w:ascii="Times New Roman" w:hAnsi="Times New Roman" w:eastAsia="宋体" w:cs="Times New Roman"/>
      <w:sz w:val="18"/>
      <w:szCs w:val="18"/>
    </w:rPr>
  </w:style>
  <w:style w:type="character" w:customStyle="1" w:styleId="43">
    <w:name w:val="页脚 字符"/>
    <w:basedOn w:val="17"/>
    <w:link w:val="10"/>
    <w:qFormat/>
    <w:uiPriority w:val="99"/>
    <w:rPr>
      <w:rFonts w:ascii="Times New Roman" w:hAnsi="Times New Roman" w:eastAsia="宋体" w:cs="Times New Roman"/>
      <w:sz w:val="18"/>
      <w:szCs w:val="18"/>
    </w:rPr>
  </w:style>
  <w:style w:type="character" w:customStyle="1" w:styleId="44">
    <w:name w:val="批注文字 字符"/>
    <w:basedOn w:val="17"/>
    <w:link w:val="6"/>
    <w:qFormat/>
    <w:uiPriority w:val="0"/>
    <w:rPr>
      <w:rFonts w:ascii="Times New Roman" w:hAnsi="Times New Roman" w:eastAsia="宋体" w:cs="Times New Roman"/>
      <w:sz w:val="21"/>
      <w:szCs w:val="22"/>
    </w:rPr>
  </w:style>
  <w:style w:type="character" w:customStyle="1" w:styleId="45">
    <w:name w:val="批注主题 字符"/>
    <w:basedOn w:val="44"/>
    <w:link w:val="13"/>
    <w:semiHidden/>
    <w:qFormat/>
    <w:uiPriority w:val="99"/>
    <w:rPr>
      <w:rFonts w:ascii="Times New Roman" w:hAnsi="Times New Roman" w:eastAsia="宋体" w:cs="Times New Roman"/>
      <w:b/>
      <w:bCs/>
      <w:sz w:val="21"/>
      <w:szCs w:val="22"/>
    </w:rPr>
  </w:style>
  <w:style w:type="paragraph" w:customStyle="1" w:styleId="46">
    <w:name w:val="图名"/>
    <w:basedOn w:val="32"/>
    <w:link w:val="47"/>
    <w:qFormat/>
    <w:uiPriority w:val="0"/>
    <w:pPr>
      <w:spacing w:line="240" w:lineRule="auto"/>
      <w:ind w:firstLine="0" w:firstLineChars="0"/>
      <w:jc w:val="center"/>
    </w:pPr>
  </w:style>
  <w:style w:type="character" w:customStyle="1" w:styleId="47">
    <w:name w:val="图名 Char"/>
    <w:link w:val="46"/>
    <w:qFormat/>
    <w:uiPriority w:val="0"/>
    <w:rPr>
      <w:rFonts w:ascii="Times New Roman" w:hAnsi="Times New Roman" w:eastAsia="黑体"/>
    </w:rPr>
  </w:style>
  <w:style w:type="character" w:customStyle="1" w:styleId="48">
    <w:name w:val="10"/>
    <w:basedOn w:val="17"/>
    <w:qFormat/>
    <w:uiPriority w:val="0"/>
    <w:rPr>
      <w:rFonts w:hint="default" w:ascii="Times New Roman" w:hAnsi="Times New Roman" w:cs="Times New Roman"/>
    </w:rPr>
  </w:style>
  <w:style w:type="character" w:customStyle="1" w:styleId="49">
    <w:name w:val="15"/>
    <w:basedOn w:val="17"/>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LTGROUP</Company>
  <Pages>28</Pages>
  <Words>12442</Words>
  <Characters>14361</Characters>
  <Lines>117</Lines>
  <Paragraphs>33</Paragraphs>
  <TotalTime>1</TotalTime>
  <ScaleCrop>false</ScaleCrop>
  <LinksUpToDate>false</LinksUpToDate>
  <CharactersWithSpaces>14923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2021-12-22T18:34:00Z</dcterms:created>
  <dc:creator>ltzhangzhuxuan</dc:creator>
  <cp:lastModifiedBy>甘鸩如饴</cp:lastModifiedBy>
  <dcterms:modified xsi:type="dcterms:W3CDTF">2022-08-31T07:31:04Z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56D92E7C5FE0468EAF94D141AC1ACF53</vt:lpwstr>
  </property>
</Properties>
</file>